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85F4F3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3C13B9">
        <w:t xml:space="preserve">Churchfields the Village School </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39D5D83" w:rsidR="002940F3" w:rsidRDefault="003C13B9" w:rsidP="00C31636">
            <w:pPr>
              <w:pStyle w:val="TableRow"/>
              <w:ind w:left="0" w:right="0"/>
            </w:pPr>
            <w:r>
              <w:t>123</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3C2E2C4" w:rsidR="002940F3" w:rsidRDefault="003C13B9" w:rsidP="003C13B9">
            <w:pPr>
              <w:pStyle w:val="TableRow"/>
              <w:spacing w:line="360" w:lineRule="auto"/>
              <w:ind w:left="0" w:right="0"/>
            </w:pPr>
            <w:r>
              <w:t>17.22%</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7F0BB" w14:textId="77777777" w:rsidR="002940F3" w:rsidRDefault="003C13B9" w:rsidP="00C31636">
            <w:pPr>
              <w:pStyle w:val="TableRow"/>
              <w:ind w:left="0" w:right="0"/>
            </w:pPr>
            <w:r>
              <w:t>2024-25</w:t>
            </w:r>
          </w:p>
          <w:p w14:paraId="05EE37AC" w14:textId="77777777" w:rsidR="003C13B9" w:rsidRDefault="003C13B9" w:rsidP="00C31636">
            <w:pPr>
              <w:pStyle w:val="TableRow"/>
              <w:ind w:left="0" w:right="0"/>
            </w:pPr>
            <w:r>
              <w:t>2025-26</w:t>
            </w:r>
          </w:p>
          <w:p w14:paraId="2A7D54BF" w14:textId="57218549" w:rsidR="003C13B9" w:rsidRDefault="003C13B9" w:rsidP="00C31636">
            <w:pPr>
              <w:pStyle w:val="TableRow"/>
              <w:ind w:left="0" w:right="0"/>
            </w:pPr>
            <w:r>
              <w:t>2026-27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E85D168" w:rsidR="002940F3" w:rsidRDefault="003C13B9"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D172F5C" w:rsidR="002940F3" w:rsidRDefault="003C13B9" w:rsidP="00C31636">
            <w:pPr>
              <w:pStyle w:val="TableRow"/>
              <w:ind w:left="0" w:right="0"/>
            </w:pPr>
            <w:r>
              <w:t>July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6D14AFE" w:rsidR="002940F3" w:rsidRDefault="003C13B9" w:rsidP="00C31636">
            <w:pPr>
              <w:pStyle w:val="TableRow"/>
              <w:ind w:left="0" w:right="0"/>
            </w:pPr>
            <w:r>
              <w:t>Heather Saunders</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37606E8" w:rsidR="002940F3" w:rsidRDefault="003C13B9" w:rsidP="00C31636">
            <w:pPr>
              <w:pStyle w:val="TableRow"/>
              <w:ind w:left="0" w:right="0"/>
            </w:pPr>
            <w:r>
              <w:t>Maria Genner</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6921DE3" w:rsidR="002940F3" w:rsidRDefault="003C13B9" w:rsidP="00C31636">
            <w:pPr>
              <w:pStyle w:val="TableRow"/>
              <w:ind w:left="0" w:right="0"/>
            </w:pPr>
            <w:r>
              <w:t>David Pritchard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FE91C98" w:rsidR="00E66558" w:rsidRDefault="009D71E8" w:rsidP="00C31636">
            <w:pPr>
              <w:pStyle w:val="TableRow"/>
              <w:ind w:left="0" w:right="0"/>
            </w:pPr>
            <w:r>
              <w:t>£</w:t>
            </w:r>
            <w:r w:rsidR="003C13B9">
              <w:t>19,940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5F7B8FE" w:rsidR="00E66558" w:rsidRDefault="009D71E8" w:rsidP="00C31636">
            <w:pPr>
              <w:pStyle w:val="TableRow"/>
              <w:ind w:left="0" w:right="0"/>
            </w:pPr>
            <w:r>
              <w:t>£</w:t>
            </w:r>
            <w:r w:rsidR="002D3A6F">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DB93096" w:rsidR="005C3B5B" w:rsidRPr="003C4388" w:rsidRDefault="009D71E8" w:rsidP="00C31636">
            <w:pPr>
              <w:pStyle w:val="TableRow"/>
              <w:ind w:left="0" w:right="0"/>
              <w:rPr>
                <w:i/>
                <w:iCs/>
              </w:rPr>
            </w:pPr>
            <w:r w:rsidRPr="003C4388">
              <w:rPr>
                <w:i/>
                <w:iCs/>
              </w:rPr>
              <w:t>If your school is an academy in a trust that pools this funding, state the amount available t</w:t>
            </w:r>
            <w:r w:rsidR="005C3B5B">
              <w:rPr>
                <w:i/>
                <w:iCs/>
              </w:rPr>
              <w:t>o your school this ac</w:t>
            </w:r>
            <w:r w:rsidRPr="003C4388">
              <w:rPr>
                <w:i/>
                <w:iCs/>
              </w:rPr>
              <w:t>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526D775" w:rsidR="00E66558" w:rsidRDefault="009D71E8" w:rsidP="00C31636">
            <w:pPr>
              <w:pStyle w:val="TableRow"/>
              <w:ind w:left="0" w:right="0"/>
            </w:pPr>
            <w:r>
              <w:t>£</w:t>
            </w:r>
            <w:r w:rsidR="002D3A6F">
              <w:t>19,940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59EE" w14:textId="078C4494" w:rsidR="002D3A6F" w:rsidRPr="005C3B5B" w:rsidRDefault="002D3A6F" w:rsidP="002D3A6F">
            <w:pPr>
              <w:spacing w:before="120"/>
              <w:rPr>
                <w:iCs/>
                <w:sz w:val="20"/>
                <w:szCs w:val="20"/>
              </w:rPr>
            </w:pPr>
            <w:r w:rsidRPr="005C3B5B">
              <w:rPr>
                <w:iCs/>
                <w:sz w:val="20"/>
                <w:szCs w:val="20"/>
              </w:rPr>
              <w:t>Churchfields, the Village School inspires all our learners, including disadvantaged learners, to become Reflective, Resourceful and Resilient. We provide an environment which</w:t>
            </w:r>
            <w:r w:rsidR="00360BAC" w:rsidRPr="005C3B5B">
              <w:rPr>
                <w:iCs/>
                <w:sz w:val="20"/>
                <w:szCs w:val="20"/>
              </w:rPr>
              <w:t>,</w:t>
            </w:r>
            <w:r w:rsidRPr="005C3B5B">
              <w:rPr>
                <w:iCs/>
                <w:sz w:val="20"/>
                <w:szCs w:val="20"/>
              </w:rPr>
              <w:t xml:space="preserve"> nurtures individual children’s spiritual, academic, physical and social development within the context of Christian values, to secure pupils’ future success, health and wellbeing.</w:t>
            </w:r>
          </w:p>
          <w:p w14:paraId="5C4D0009" w14:textId="77777777" w:rsidR="002D3A6F" w:rsidRPr="005C3B5B" w:rsidRDefault="002D3A6F" w:rsidP="002D3A6F">
            <w:pPr>
              <w:spacing w:before="120"/>
              <w:rPr>
                <w:iCs/>
                <w:sz w:val="20"/>
                <w:szCs w:val="20"/>
              </w:rPr>
            </w:pPr>
            <w:r w:rsidRPr="005C3B5B">
              <w:rPr>
                <w:iCs/>
                <w:sz w:val="20"/>
                <w:szCs w:val="20"/>
              </w:rPr>
              <w:t xml:space="preserve">Our intention is that all pupils, irrespective of their background or the challenges they face, make at least good progress and achieve highly in all areas. The focus of our pupil premium strategy is to support disadvantaged pupils to achieve that goal, including progress for those who are already high-attainers. </w:t>
            </w:r>
          </w:p>
          <w:p w14:paraId="11074DC9" w14:textId="77368759" w:rsidR="002D3A6F" w:rsidRPr="005C3B5B" w:rsidRDefault="002D3A6F" w:rsidP="002D3A6F">
            <w:pPr>
              <w:spacing w:before="120"/>
              <w:rPr>
                <w:iCs/>
                <w:sz w:val="20"/>
                <w:szCs w:val="20"/>
              </w:rPr>
            </w:pPr>
            <w:r w:rsidRPr="005C3B5B">
              <w:rPr>
                <w:iCs/>
                <w:sz w:val="20"/>
                <w:szCs w:val="20"/>
              </w:rPr>
              <w:t>We will consider the challenges faced by our disadvantaged pupils, which may include pupils who are young carers and those wit</w:t>
            </w:r>
            <w:r w:rsidR="004D32E9" w:rsidRPr="005C3B5B">
              <w:rPr>
                <w:iCs/>
                <w:sz w:val="20"/>
                <w:szCs w:val="20"/>
              </w:rPr>
              <w:t xml:space="preserve">h a social worker. Support will, </w:t>
            </w:r>
            <w:proofErr w:type="gramStart"/>
            <w:r w:rsidRPr="005C3B5B">
              <w:rPr>
                <w:iCs/>
                <w:sz w:val="20"/>
                <w:szCs w:val="20"/>
              </w:rPr>
              <w:t>therefore</w:t>
            </w:r>
            <w:proofErr w:type="gramEnd"/>
            <w:r w:rsidRPr="005C3B5B">
              <w:rPr>
                <w:iCs/>
                <w:sz w:val="20"/>
                <w:szCs w:val="20"/>
              </w:rPr>
              <w:t xml:space="preserve"> be provided taking individual circumstances into account and focus on activities that will have maximum impact on learning.</w:t>
            </w:r>
          </w:p>
          <w:p w14:paraId="0489E2C3" w14:textId="123E1A72" w:rsidR="002D3A6F" w:rsidRPr="005C3B5B" w:rsidRDefault="002D3A6F" w:rsidP="00954083">
            <w:pPr>
              <w:spacing w:before="120"/>
              <w:rPr>
                <w:sz w:val="20"/>
                <w:szCs w:val="20"/>
              </w:rPr>
            </w:pPr>
            <w:r w:rsidRPr="005C3B5B">
              <w:rPr>
                <w:sz w:val="20"/>
                <w:szCs w:val="20"/>
              </w:rPr>
              <w:t xml:space="preserve">High quality teaching is at the heart of our approach, with a focus on areas in which </w:t>
            </w:r>
            <w:r w:rsidR="009D1A80" w:rsidRPr="005C3B5B">
              <w:rPr>
                <w:sz w:val="20"/>
                <w:szCs w:val="20"/>
              </w:rPr>
              <w:t>disadvantaged</w:t>
            </w:r>
            <w:r w:rsidRPr="005C3B5B">
              <w:rPr>
                <w:sz w:val="20"/>
                <w:szCs w:val="20"/>
              </w:rPr>
              <w:t xml:space="preserve"> pupils require the most support. This is</w:t>
            </w:r>
            <w:r w:rsidR="004D32E9" w:rsidRPr="005C3B5B">
              <w:rPr>
                <w:sz w:val="20"/>
                <w:szCs w:val="20"/>
              </w:rPr>
              <w:t>,</w:t>
            </w:r>
            <w:r w:rsidRPr="005C3B5B">
              <w:rPr>
                <w:sz w:val="20"/>
                <w:szCs w:val="20"/>
              </w:rPr>
              <w:t xml:space="preserve"> proven to have the greatest impact on closing the disadvantage attainment gap and at the same time will benefit the </w:t>
            </w:r>
            <w:r w:rsidR="004D32E9" w:rsidRPr="005C3B5B">
              <w:rPr>
                <w:sz w:val="20"/>
                <w:szCs w:val="20"/>
              </w:rPr>
              <w:t>non-disadvantaged</w:t>
            </w:r>
            <w:r w:rsidRPr="005C3B5B">
              <w:rPr>
                <w:sz w:val="20"/>
                <w:szCs w:val="20"/>
              </w:rPr>
              <w:t xml:space="preserve"> pupils at </w:t>
            </w:r>
            <w:r w:rsidR="009D1A80" w:rsidRPr="005C3B5B">
              <w:rPr>
                <w:sz w:val="20"/>
                <w:szCs w:val="20"/>
              </w:rPr>
              <w:t>Churchfields</w:t>
            </w:r>
            <w:r w:rsidRPr="005C3B5B">
              <w:rPr>
                <w:sz w:val="20"/>
                <w:szCs w:val="20"/>
              </w:rPr>
              <w:t xml:space="preserve"> the Village School. Our classroom environments reflect an</w:t>
            </w:r>
            <w:r w:rsidR="009D1A80" w:rsidRPr="005C3B5B">
              <w:rPr>
                <w:sz w:val="20"/>
                <w:szCs w:val="20"/>
              </w:rPr>
              <w:t xml:space="preserve"> </w:t>
            </w:r>
            <w:r w:rsidRPr="005C3B5B">
              <w:rPr>
                <w:sz w:val="20"/>
                <w:szCs w:val="20"/>
              </w:rPr>
              <w:t>inclusive approach where the ethos is “crucial for some, harmful for none”</w:t>
            </w:r>
            <w:r w:rsidR="009D1A80" w:rsidRPr="005C3B5B">
              <w:rPr>
                <w:sz w:val="20"/>
                <w:szCs w:val="20"/>
              </w:rPr>
              <w:t xml:space="preserve">. Implicit in the intended outcomes below, is the intention that </w:t>
            </w:r>
            <w:r w:rsidR="004D32E9" w:rsidRPr="005C3B5B">
              <w:rPr>
                <w:sz w:val="20"/>
                <w:szCs w:val="20"/>
              </w:rPr>
              <w:t>non-disadvantaged</w:t>
            </w:r>
            <w:r w:rsidR="009D1A80" w:rsidRPr="005C3B5B">
              <w:rPr>
                <w:sz w:val="20"/>
                <w:szCs w:val="20"/>
              </w:rPr>
              <w:t xml:space="preserve"> </w:t>
            </w:r>
            <w:proofErr w:type="gramStart"/>
            <w:r w:rsidR="009D1A80" w:rsidRPr="005C3B5B">
              <w:rPr>
                <w:sz w:val="20"/>
                <w:szCs w:val="20"/>
              </w:rPr>
              <w:t>pupils</w:t>
            </w:r>
            <w:proofErr w:type="gramEnd"/>
            <w:r w:rsidR="009D1A80" w:rsidRPr="005C3B5B">
              <w:rPr>
                <w:sz w:val="20"/>
                <w:szCs w:val="20"/>
              </w:rPr>
              <w:t xml:space="preserve"> attainment</w:t>
            </w:r>
            <w:r w:rsidR="004D32E9" w:rsidRPr="005C3B5B">
              <w:rPr>
                <w:sz w:val="20"/>
                <w:szCs w:val="20"/>
              </w:rPr>
              <w:t>,</w:t>
            </w:r>
            <w:r w:rsidR="009D1A80" w:rsidRPr="005C3B5B">
              <w:rPr>
                <w:sz w:val="20"/>
                <w:szCs w:val="20"/>
              </w:rPr>
              <w:t xml:space="preserve"> will be sustained and improved alongside the progress of their disadvantaged peers.</w:t>
            </w:r>
          </w:p>
          <w:p w14:paraId="2E3E4EAA" w14:textId="62F572D0" w:rsidR="002D3A6F" w:rsidRPr="005C3B5B" w:rsidRDefault="009D1A80" w:rsidP="00954083">
            <w:pPr>
              <w:spacing w:before="120"/>
              <w:rPr>
                <w:iCs/>
                <w:sz w:val="20"/>
                <w:szCs w:val="20"/>
              </w:rPr>
            </w:pPr>
            <w:r w:rsidRPr="005C3B5B">
              <w:rPr>
                <w:iCs/>
                <w:sz w:val="20"/>
                <w:szCs w:val="20"/>
              </w:rPr>
              <w:t xml:space="preserve">Our approaches will be responsive to findings from robust diagnostic assessment, not assumptions about the impact of disadvantage. Each approach will complement each other and focus on the needs of the individual to help pupils excel. We will ensure we have high expectations of all </w:t>
            </w:r>
            <w:r w:rsidR="004D32E9" w:rsidRPr="005C3B5B">
              <w:rPr>
                <w:iCs/>
                <w:sz w:val="20"/>
                <w:szCs w:val="20"/>
              </w:rPr>
              <w:t xml:space="preserve">learners, which will </w:t>
            </w:r>
            <w:r w:rsidRPr="005C3B5B">
              <w:rPr>
                <w:iCs/>
                <w:sz w:val="20"/>
                <w:szCs w:val="20"/>
              </w:rPr>
              <w:t>be reflected in the work we set</w:t>
            </w:r>
            <w:r w:rsidR="00E271FC" w:rsidRPr="005C3B5B">
              <w:rPr>
                <w:iCs/>
                <w:sz w:val="20"/>
                <w:szCs w:val="20"/>
              </w:rPr>
              <w:t xml:space="preserve"> </w:t>
            </w:r>
            <w:r w:rsidRPr="005C3B5B">
              <w:rPr>
                <w:iCs/>
                <w:sz w:val="20"/>
                <w:szCs w:val="20"/>
              </w:rPr>
              <w:t>and intervene promptly and decisively when pupils fall behind.</w:t>
            </w:r>
            <w:r w:rsidR="00E271FC" w:rsidRPr="005C3B5B">
              <w:rPr>
                <w:iCs/>
                <w:sz w:val="20"/>
                <w:szCs w:val="20"/>
              </w:rPr>
              <w:t xml:space="preserve"> We will:</w:t>
            </w:r>
          </w:p>
          <w:p w14:paraId="7739433E" w14:textId="132EDA71" w:rsidR="009D1A80" w:rsidRPr="005C3B5B" w:rsidRDefault="009D1A80" w:rsidP="009D1A80">
            <w:pPr>
              <w:pStyle w:val="ListParagraph"/>
              <w:numPr>
                <w:ilvl w:val="0"/>
                <w:numId w:val="18"/>
              </w:numPr>
              <w:spacing w:before="120"/>
              <w:rPr>
                <w:sz w:val="20"/>
                <w:szCs w:val="20"/>
              </w:rPr>
            </w:pPr>
            <w:r w:rsidRPr="005C3B5B">
              <w:rPr>
                <w:sz w:val="20"/>
                <w:szCs w:val="20"/>
              </w:rPr>
              <w:t>Ensure disadvantaged pupils are challenged in the work they are set</w:t>
            </w:r>
          </w:p>
          <w:p w14:paraId="2A21AB66" w14:textId="3FC63804" w:rsidR="009D1A80" w:rsidRPr="005C3B5B" w:rsidRDefault="009D1A80" w:rsidP="009D1A80">
            <w:pPr>
              <w:pStyle w:val="ListParagraph"/>
              <w:numPr>
                <w:ilvl w:val="0"/>
                <w:numId w:val="18"/>
              </w:numPr>
              <w:spacing w:before="120"/>
              <w:rPr>
                <w:sz w:val="20"/>
                <w:szCs w:val="20"/>
              </w:rPr>
            </w:pPr>
            <w:r w:rsidRPr="005C3B5B">
              <w:rPr>
                <w:sz w:val="20"/>
                <w:szCs w:val="20"/>
              </w:rPr>
              <w:t>Act and respond early to intervene at the point need is identified</w:t>
            </w:r>
          </w:p>
          <w:p w14:paraId="2A7D54E9" w14:textId="1FBCF72D" w:rsidR="00E66558" w:rsidRPr="00E271FC" w:rsidRDefault="009D1A80" w:rsidP="00E271FC">
            <w:pPr>
              <w:pStyle w:val="ListParagraph"/>
              <w:numPr>
                <w:ilvl w:val="0"/>
                <w:numId w:val="18"/>
              </w:numPr>
              <w:spacing w:before="120"/>
            </w:pPr>
            <w:r w:rsidRPr="005C3B5B">
              <w:rPr>
                <w:sz w:val="20"/>
                <w:szCs w:val="20"/>
              </w:rPr>
              <w:t>Adopt a whole school approach in which all staff take responsibility for disadvantaged pupils</w:t>
            </w:r>
            <w:r w:rsidR="00E271FC" w:rsidRPr="005C3B5B">
              <w:rPr>
                <w:sz w:val="20"/>
                <w:szCs w:val="20"/>
              </w:rPr>
              <w:t>’</w:t>
            </w:r>
            <w:r w:rsidRPr="005C3B5B">
              <w:rPr>
                <w:sz w:val="20"/>
                <w:szCs w:val="20"/>
              </w:rPr>
              <w:t xml:space="preserve">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C3B5B" w:rsidRDefault="009D71E8" w:rsidP="00C31636">
            <w:pPr>
              <w:pStyle w:val="TableRow"/>
              <w:ind w:left="0" w:right="0"/>
              <w:rPr>
                <w:sz w:val="20"/>
                <w:szCs w:val="20"/>
              </w:rPr>
            </w:pPr>
            <w:r w:rsidRPr="005C3B5B">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D500D46" w:rsidR="00E66558" w:rsidRPr="005C3B5B" w:rsidRDefault="00E271FC" w:rsidP="00C31636">
            <w:pPr>
              <w:pStyle w:val="TableRowCentered"/>
              <w:ind w:left="0" w:right="0"/>
              <w:jc w:val="left"/>
              <w:rPr>
                <w:color w:val="auto"/>
                <w:sz w:val="20"/>
              </w:rPr>
            </w:pPr>
            <w:r w:rsidRPr="005C3B5B">
              <w:rPr>
                <w:color w:val="auto"/>
                <w:sz w:val="20"/>
              </w:rPr>
              <w:t>Assessments observations and discussions with pupils suggest disadvantaged pupils generally have greater difficulties with reading than their peers</w:t>
            </w:r>
            <w:r w:rsidR="004D32E9" w:rsidRPr="005C3B5B">
              <w:rPr>
                <w:color w:val="auto"/>
                <w:sz w:val="20"/>
              </w:rPr>
              <w:t xml:space="preserve"> do</w:t>
            </w:r>
            <w:r w:rsidRPr="005C3B5B">
              <w:rPr>
                <w:color w:val="auto"/>
                <w:sz w:val="20"/>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5C3B5B" w:rsidRDefault="009D71E8" w:rsidP="00C31636">
            <w:pPr>
              <w:pStyle w:val="TableRow"/>
              <w:ind w:left="0" w:right="0"/>
              <w:rPr>
                <w:sz w:val="20"/>
                <w:szCs w:val="20"/>
              </w:rPr>
            </w:pPr>
            <w:r w:rsidRPr="005C3B5B">
              <w:rPr>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7C2DD74" w:rsidR="00E66558" w:rsidRPr="005C3B5B" w:rsidRDefault="00E271FC" w:rsidP="00C31636">
            <w:pPr>
              <w:pStyle w:val="TableRowCentered"/>
              <w:ind w:left="0" w:right="0"/>
              <w:jc w:val="left"/>
              <w:rPr>
                <w:color w:val="auto"/>
                <w:sz w:val="20"/>
              </w:rPr>
            </w:pPr>
            <w:r w:rsidRPr="005C3B5B">
              <w:rPr>
                <w:color w:val="auto"/>
                <w:sz w:val="20"/>
              </w:rPr>
              <w:t>Internal and external assessments indicate that maths attainment among disadvantaged pupils is below that of non-disadvantaged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5C3B5B" w:rsidRDefault="009D71E8" w:rsidP="00C31636">
            <w:pPr>
              <w:pStyle w:val="TableRow"/>
              <w:ind w:left="0" w:right="0"/>
              <w:rPr>
                <w:sz w:val="20"/>
                <w:szCs w:val="20"/>
              </w:rPr>
            </w:pPr>
            <w:r w:rsidRPr="005C3B5B">
              <w:rPr>
                <w:sz w:val="20"/>
                <w:szCs w:val="20"/>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3D8D0AA" w:rsidR="00E66558" w:rsidRPr="005C3B5B" w:rsidRDefault="00E271FC" w:rsidP="00C31636">
            <w:pPr>
              <w:pStyle w:val="TableRowCentered"/>
              <w:ind w:left="0" w:right="0"/>
              <w:jc w:val="left"/>
              <w:rPr>
                <w:sz w:val="20"/>
              </w:rPr>
            </w:pPr>
            <w:r w:rsidRPr="005C3B5B">
              <w:rPr>
                <w:sz w:val="20"/>
              </w:rPr>
              <w:t>Internal and external assessments indicate that writing attainment among disadvantaged pupils is significantly below that of non-disadvantaged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5C3B5B" w:rsidRDefault="009D71E8" w:rsidP="00C31636">
            <w:pPr>
              <w:pStyle w:val="TableRow"/>
              <w:ind w:left="0" w:right="0"/>
              <w:rPr>
                <w:sz w:val="20"/>
                <w:szCs w:val="20"/>
              </w:rPr>
            </w:pPr>
            <w:r w:rsidRPr="005C3B5B">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DD16473" w:rsidR="00E66558" w:rsidRPr="005C3B5B" w:rsidRDefault="00E271FC" w:rsidP="00C31636">
            <w:pPr>
              <w:pStyle w:val="TableRowCentered"/>
              <w:ind w:left="0" w:right="0"/>
              <w:jc w:val="left"/>
              <w:rPr>
                <w:iCs/>
                <w:sz w:val="20"/>
              </w:rPr>
            </w:pPr>
            <w:r w:rsidRPr="005C3B5B">
              <w:rPr>
                <w:iCs/>
                <w:sz w:val="20"/>
              </w:rPr>
              <w:t>Our attendance data indicates that attendance among disadvantaged pupils is significantly lower than that o</w:t>
            </w:r>
            <w:r w:rsidR="000757D5" w:rsidRPr="005C3B5B">
              <w:rPr>
                <w:iCs/>
                <w:sz w:val="20"/>
              </w:rPr>
              <w:t>f</w:t>
            </w:r>
            <w:r w:rsidRPr="005C3B5B">
              <w:rPr>
                <w:iCs/>
                <w:sz w:val="20"/>
              </w:rPr>
              <w:t xml:space="preserve"> </w:t>
            </w:r>
            <w:r w:rsidR="004D32E9" w:rsidRPr="005C3B5B">
              <w:rPr>
                <w:iCs/>
                <w:sz w:val="20"/>
              </w:rPr>
              <w:t>non-disadvantaged</w:t>
            </w:r>
            <w:r w:rsidRPr="005C3B5B">
              <w:rPr>
                <w:iCs/>
                <w:sz w:val="20"/>
              </w:rPr>
              <w:t xml:space="preserve"> pupils</w:t>
            </w:r>
            <w:r w:rsidR="000757D5" w:rsidRPr="005C3B5B">
              <w:rPr>
                <w:iCs/>
                <w:sz w:val="20"/>
              </w:rPr>
              <w:t>. Persistent absence is noticeable higher with pupils with disadvantage.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5C3B5B" w:rsidRDefault="009D71E8" w:rsidP="00C31636">
            <w:pPr>
              <w:pStyle w:val="TableRow"/>
              <w:ind w:left="0" w:right="0"/>
              <w:rPr>
                <w:sz w:val="20"/>
                <w:szCs w:val="20"/>
              </w:rPr>
            </w:pPr>
            <w:bookmarkStart w:id="16" w:name="_Toc443397160"/>
            <w:r w:rsidRPr="005C3B5B">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288660A" w:rsidR="00E66558" w:rsidRPr="005C3B5B" w:rsidRDefault="000757D5" w:rsidP="00C31636">
            <w:pPr>
              <w:pStyle w:val="TableRowCentered"/>
              <w:ind w:left="0" w:right="0"/>
              <w:jc w:val="left"/>
              <w:rPr>
                <w:iCs/>
                <w:sz w:val="20"/>
              </w:rPr>
            </w:pPr>
            <w:r w:rsidRPr="005C3B5B">
              <w:rPr>
                <w:iCs/>
                <w:sz w:val="20"/>
              </w:rPr>
              <w:t>Our observations, records and discussions with pupils and families have identified social and emotional issues for some pupils includin</w:t>
            </w:r>
            <w:r w:rsidR="00A912A8" w:rsidRPr="005C3B5B">
              <w:rPr>
                <w:iCs/>
                <w:sz w:val="20"/>
              </w:rPr>
              <w:t>g EBSA. These challenges particularly affect disadvantaged pupils and their attainment.</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02C6405F"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w:t>
      </w:r>
      <w:r w:rsidR="004D32E9">
        <w:rPr>
          <w:color w:val="auto"/>
        </w:rPr>
        <w:t xml:space="preserve"> h</w:t>
      </w:r>
      <w:r>
        <w:rPr>
          <w:color w:val="auto"/>
        </w:rPr>
        <w:t>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31472E0" w:rsidR="00E66558" w:rsidRPr="005C3B5B" w:rsidRDefault="00A912A8" w:rsidP="00C31636">
            <w:pPr>
              <w:pStyle w:val="TableRow"/>
              <w:ind w:left="0" w:right="0"/>
              <w:rPr>
                <w:sz w:val="20"/>
                <w:szCs w:val="20"/>
              </w:rPr>
            </w:pPr>
            <w:r w:rsidRPr="005C3B5B">
              <w:rPr>
                <w:sz w:val="20"/>
                <w:szCs w:val="20"/>
              </w:rPr>
              <w:t xml:space="preserve">Improved reading attainment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ADFFC1A" w:rsidR="00E66558" w:rsidRPr="005C3B5B" w:rsidRDefault="00A912A8" w:rsidP="00C31636">
            <w:pPr>
              <w:pStyle w:val="TableRowCentered"/>
              <w:ind w:left="0" w:right="0"/>
              <w:jc w:val="left"/>
              <w:rPr>
                <w:sz w:val="20"/>
              </w:rPr>
            </w:pPr>
            <w:r w:rsidRPr="005C3B5B">
              <w:rPr>
                <w:sz w:val="20"/>
              </w:rPr>
              <w:t xml:space="preserve">KS2 reading outcomes in 2026/27 show that the % of </w:t>
            </w:r>
            <w:r w:rsidR="008F0288">
              <w:rPr>
                <w:sz w:val="20"/>
              </w:rPr>
              <w:t>pupil premium</w:t>
            </w:r>
            <w:r w:rsidRPr="005C3B5B">
              <w:rPr>
                <w:sz w:val="20"/>
              </w:rPr>
              <w:t xml:space="preserve"> pupils who meet the expected standard is equal to or more than the % of pupils who are not </w:t>
            </w:r>
            <w:r w:rsidR="008F0288">
              <w:rPr>
                <w:sz w:val="20"/>
              </w:rPr>
              <w:t>pupil premium or the national standard for all pupils, whichever is higher</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2EF9555" w:rsidR="00E66558" w:rsidRPr="005C3B5B" w:rsidRDefault="00A912A8" w:rsidP="00C31636">
            <w:pPr>
              <w:pStyle w:val="TableRow"/>
              <w:ind w:left="0" w:right="0"/>
              <w:rPr>
                <w:sz w:val="20"/>
                <w:szCs w:val="20"/>
              </w:rPr>
            </w:pPr>
            <w:r w:rsidRPr="005C3B5B">
              <w:rPr>
                <w:sz w:val="20"/>
                <w:szCs w:val="20"/>
              </w:rPr>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933CC62" w:rsidR="00E66558" w:rsidRPr="005C3B5B" w:rsidRDefault="00C274AA" w:rsidP="00C31636">
            <w:pPr>
              <w:pStyle w:val="TableRowCentered"/>
              <w:ind w:left="0" w:right="0"/>
              <w:jc w:val="left"/>
              <w:rPr>
                <w:sz w:val="20"/>
              </w:rPr>
            </w:pPr>
            <w:r w:rsidRPr="005C3B5B">
              <w:rPr>
                <w:sz w:val="20"/>
              </w:rPr>
              <w:t xml:space="preserve">KS2 </w:t>
            </w:r>
            <w:r>
              <w:rPr>
                <w:sz w:val="20"/>
              </w:rPr>
              <w:t>maths</w:t>
            </w:r>
            <w:r w:rsidRPr="005C3B5B">
              <w:rPr>
                <w:sz w:val="20"/>
              </w:rPr>
              <w:t xml:space="preserve"> outcomes in 2026/27 show that the % of </w:t>
            </w:r>
            <w:r>
              <w:rPr>
                <w:sz w:val="20"/>
              </w:rPr>
              <w:t>pupil premium</w:t>
            </w:r>
            <w:r w:rsidRPr="005C3B5B">
              <w:rPr>
                <w:sz w:val="20"/>
              </w:rPr>
              <w:t xml:space="preserve"> pupils who meet the expected standard is equal to or more than the % of pupils who are not </w:t>
            </w:r>
            <w:r>
              <w:rPr>
                <w:sz w:val="20"/>
              </w:rPr>
              <w:t>pupil premium or the national standard for all pupils, whichever is higher</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6D69974" w:rsidR="00E66558" w:rsidRPr="005C3B5B" w:rsidRDefault="00A912A8" w:rsidP="00C31636">
            <w:pPr>
              <w:pStyle w:val="TableRow"/>
              <w:ind w:left="0" w:right="0"/>
              <w:rPr>
                <w:sz w:val="20"/>
                <w:szCs w:val="20"/>
              </w:rPr>
            </w:pPr>
            <w:r w:rsidRPr="005C3B5B">
              <w:rPr>
                <w:sz w:val="20"/>
                <w:szCs w:val="20"/>
              </w:rP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6A84008" w:rsidR="00E66558" w:rsidRPr="005C3B5B" w:rsidRDefault="00C274AA" w:rsidP="00C31636">
            <w:pPr>
              <w:pStyle w:val="TableRowCentered"/>
              <w:ind w:left="0" w:right="0"/>
              <w:jc w:val="left"/>
              <w:rPr>
                <w:sz w:val="20"/>
              </w:rPr>
            </w:pPr>
            <w:r w:rsidRPr="005C3B5B">
              <w:rPr>
                <w:sz w:val="20"/>
              </w:rPr>
              <w:t xml:space="preserve">KS2 </w:t>
            </w:r>
            <w:r>
              <w:rPr>
                <w:sz w:val="20"/>
              </w:rPr>
              <w:t>writi</w:t>
            </w:r>
            <w:r w:rsidRPr="005C3B5B">
              <w:rPr>
                <w:sz w:val="20"/>
              </w:rPr>
              <w:t xml:space="preserve">ng outcomes in 2026/27 show that the % of </w:t>
            </w:r>
            <w:r>
              <w:rPr>
                <w:sz w:val="20"/>
              </w:rPr>
              <w:t>pupil premium</w:t>
            </w:r>
            <w:r w:rsidRPr="005C3B5B">
              <w:rPr>
                <w:sz w:val="20"/>
              </w:rPr>
              <w:t xml:space="preserve"> pupils who meet the expected standard is equal to or more than the % of pupils who are not </w:t>
            </w:r>
            <w:r>
              <w:rPr>
                <w:sz w:val="20"/>
              </w:rPr>
              <w:t>pupil premium or the national standard for all pupils, whichever is higher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34B1CB8" w:rsidR="00E66558" w:rsidRPr="005C3B5B" w:rsidRDefault="00A912A8" w:rsidP="00C31636">
            <w:pPr>
              <w:pStyle w:val="TableRow"/>
              <w:ind w:left="0" w:right="0"/>
              <w:rPr>
                <w:sz w:val="20"/>
                <w:szCs w:val="20"/>
              </w:rPr>
            </w:pPr>
            <w:r w:rsidRPr="005C3B5B">
              <w:rPr>
                <w:sz w:val="20"/>
                <w:szCs w:val="20"/>
              </w:rPr>
              <w:t>To improve attendance levels for disadvantaged pupils and decrease the % of persistent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FE3B" w14:textId="3B1F76CE" w:rsidR="00E66558" w:rsidRPr="005C3B5B" w:rsidRDefault="00360BAC" w:rsidP="00A912A8">
            <w:pPr>
              <w:pStyle w:val="TableRowCentered"/>
              <w:ind w:right="0"/>
              <w:jc w:val="left"/>
              <w:rPr>
                <w:color w:val="auto"/>
                <w:sz w:val="20"/>
              </w:rPr>
            </w:pPr>
            <w:r w:rsidRPr="005C3B5B">
              <w:rPr>
                <w:color w:val="auto"/>
                <w:sz w:val="20"/>
              </w:rPr>
              <w:t xml:space="preserve">2026/27 </w:t>
            </w:r>
            <w:r w:rsidR="005C3B5B" w:rsidRPr="005C3B5B">
              <w:rPr>
                <w:color w:val="auto"/>
                <w:sz w:val="20"/>
              </w:rPr>
              <w:t>attendance outcomes show a</w:t>
            </w:r>
            <w:r w:rsidR="00A912A8" w:rsidRPr="005C3B5B">
              <w:rPr>
                <w:color w:val="auto"/>
                <w:sz w:val="20"/>
              </w:rPr>
              <w:t xml:space="preserve"> decrease in persistent absence levels</w:t>
            </w:r>
            <w:r w:rsidR="008F0288">
              <w:rPr>
                <w:color w:val="auto"/>
                <w:sz w:val="20"/>
              </w:rPr>
              <w:t xml:space="preserve"> to be in line with all school pupils., or pupils nationally, whichever is lowest</w:t>
            </w:r>
          </w:p>
          <w:p w14:paraId="2A7D550E" w14:textId="411D8212" w:rsidR="00A912A8" w:rsidRPr="005C3B5B" w:rsidRDefault="00A912A8" w:rsidP="00A912A8">
            <w:pPr>
              <w:pStyle w:val="TableRowCentered"/>
              <w:ind w:right="0"/>
              <w:jc w:val="left"/>
              <w:rPr>
                <w:sz w:val="20"/>
              </w:rPr>
            </w:pPr>
          </w:p>
        </w:tc>
      </w:tr>
      <w:tr w:rsidR="00A912A8" w14:paraId="130AE4E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C4EF" w14:textId="13C9E294" w:rsidR="00A912A8" w:rsidRPr="005C3B5B" w:rsidRDefault="00A912A8" w:rsidP="00C31636">
            <w:pPr>
              <w:pStyle w:val="TableRow"/>
              <w:ind w:left="0" w:right="0"/>
              <w:rPr>
                <w:sz w:val="20"/>
                <w:szCs w:val="20"/>
              </w:rPr>
            </w:pPr>
            <w:r w:rsidRPr="005C3B5B">
              <w:rPr>
                <w:sz w:val="20"/>
                <w:szCs w:val="20"/>
              </w:rPr>
              <w:t>To ac</w:t>
            </w:r>
            <w:r w:rsidR="005C3B5B">
              <w:rPr>
                <w:sz w:val="20"/>
                <w:szCs w:val="20"/>
              </w:rPr>
              <w:t>hieve and sustain improved well-</w:t>
            </w:r>
            <w:r w:rsidRPr="005C3B5B">
              <w:rPr>
                <w:sz w:val="20"/>
                <w:szCs w:val="20"/>
              </w:rPr>
              <w:t>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4625" w14:textId="190F76C0" w:rsidR="00A912A8" w:rsidRPr="005C3B5B" w:rsidRDefault="00A912A8" w:rsidP="00C31636">
            <w:pPr>
              <w:pStyle w:val="TableRowCentered"/>
              <w:ind w:left="0" w:right="0"/>
              <w:jc w:val="left"/>
              <w:rPr>
                <w:sz w:val="20"/>
              </w:rPr>
            </w:pPr>
            <w:r w:rsidRPr="005C3B5B">
              <w:rPr>
                <w:sz w:val="20"/>
              </w:rPr>
              <w:t xml:space="preserve">Sustained high levels of </w:t>
            </w:r>
            <w:r w:rsidR="004D32E9" w:rsidRPr="005C3B5B">
              <w:rPr>
                <w:sz w:val="20"/>
              </w:rPr>
              <w:t>wellbeing</w:t>
            </w:r>
            <w:r w:rsidRPr="005C3B5B">
              <w:rPr>
                <w:sz w:val="20"/>
              </w:rPr>
              <w:t xml:space="preserve"> from 2026/7 demonstrated by:</w:t>
            </w:r>
          </w:p>
          <w:p w14:paraId="6C9D90CE" w14:textId="5C8BFFEB" w:rsidR="00A912A8" w:rsidRPr="005C3B5B" w:rsidRDefault="004D32E9" w:rsidP="00A912A8">
            <w:pPr>
              <w:pStyle w:val="TableRowCentered"/>
              <w:numPr>
                <w:ilvl w:val="0"/>
                <w:numId w:val="19"/>
              </w:numPr>
              <w:ind w:right="0"/>
              <w:jc w:val="left"/>
              <w:rPr>
                <w:sz w:val="20"/>
              </w:rPr>
            </w:pPr>
            <w:r w:rsidRPr="005C3B5B">
              <w:rPr>
                <w:sz w:val="20"/>
              </w:rPr>
              <w:t>Qualitati</w:t>
            </w:r>
            <w:r w:rsidR="00A912A8" w:rsidRPr="005C3B5B">
              <w:rPr>
                <w:sz w:val="20"/>
              </w:rPr>
              <w:t>ve data from studen</w:t>
            </w:r>
            <w:r w:rsidR="00C2782D" w:rsidRPr="005C3B5B">
              <w:rPr>
                <w:sz w:val="20"/>
              </w:rPr>
              <w:t>t voice, student and parent sur</w:t>
            </w:r>
            <w:r w:rsidR="00A912A8" w:rsidRPr="005C3B5B">
              <w:rPr>
                <w:sz w:val="20"/>
              </w:rPr>
              <w:t>v</w:t>
            </w:r>
            <w:r w:rsidR="00C2782D" w:rsidRPr="005C3B5B">
              <w:rPr>
                <w:sz w:val="20"/>
              </w:rPr>
              <w:t>e</w:t>
            </w:r>
            <w:r w:rsidR="00A912A8" w:rsidRPr="005C3B5B">
              <w:rPr>
                <w:sz w:val="20"/>
              </w:rPr>
              <w:t>ys and teacher observations</w:t>
            </w:r>
          </w:p>
          <w:p w14:paraId="6AE9D397" w14:textId="4ADBB01E" w:rsidR="00A912A8" w:rsidRPr="005C3B5B" w:rsidRDefault="00A912A8" w:rsidP="00A912A8">
            <w:pPr>
              <w:pStyle w:val="TableRowCentered"/>
              <w:numPr>
                <w:ilvl w:val="0"/>
                <w:numId w:val="19"/>
              </w:numPr>
              <w:ind w:right="0"/>
              <w:jc w:val="left"/>
              <w:rPr>
                <w:sz w:val="20"/>
              </w:rPr>
            </w:pPr>
            <w:r w:rsidRPr="005C3B5B">
              <w:rPr>
                <w:sz w:val="20"/>
              </w:rPr>
              <w:t>A signif</w:t>
            </w:r>
            <w:r w:rsidR="004D32E9" w:rsidRPr="005C3B5B">
              <w:rPr>
                <w:sz w:val="20"/>
              </w:rPr>
              <w:t xml:space="preserve">icant reduction in CPOMS </w:t>
            </w:r>
            <w:r w:rsidR="00DE6017" w:rsidRPr="005C3B5B">
              <w:rPr>
                <w:sz w:val="20"/>
              </w:rPr>
              <w:t xml:space="preserve">entered </w:t>
            </w:r>
          </w:p>
          <w:p w14:paraId="65F8C0D7" w14:textId="48ED6764" w:rsidR="00A912A8" w:rsidRPr="005C3B5B" w:rsidRDefault="00A912A8" w:rsidP="00A912A8">
            <w:pPr>
              <w:pStyle w:val="TableRowCentered"/>
              <w:numPr>
                <w:ilvl w:val="0"/>
                <w:numId w:val="19"/>
              </w:numPr>
              <w:ind w:right="0"/>
              <w:jc w:val="left"/>
              <w:rPr>
                <w:sz w:val="20"/>
              </w:rPr>
            </w:pPr>
            <w:r w:rsidRPr="005C3B5B">
              <w:rPr>
                <w:sz w:val="20"/>
              </w:rPr>
              <w:t xml:space="preserve">A significant increase in participation in enrichment </w:t>
            </w:r>
            <w:r w:rsidR="00DE6017" w:rsidRPr="005C3B5B">
              <w:rPr>
                <w:sz w:val="20"/>
              </w:rPr>
              <w:t>activities</w:t>
            </w:r>
            <w:r w:rsidRPr="005C3B5B">
              <w:rPr>
                <w:sz w:val="20"/>
              </w:rPr>
              <w:t xml:space="preserve"> </w:t>
            </w:r>
            <w:r w:rsidR="00DE6017" w:rsidRPr="005C3B5B">
              <w:rPr>
                <w:sz w:val="20"/>
              </w:rPr>
              <w:t>particularly</w:t>
            </w:r>
            <w:r w:rsidRPr="005C3B5B">
              <w:rPr>
                <w:sz w:val="20"/>
              </w:rPr>
              <w:t xml:space="preserve"> amongst disadvantage pupils </w:t>
            </w:r>
          </w:p>
        </w:tc>
      </w:tr>
    </w:tbl>
    <w:p w14:paraId="74F894BF" w14:textId="54DC7664" w:rsidR="005C3B5B" w:rsidRDefault="005C3B5B">
      <w:pPr>
        <w:pStyle w:val="Heading2"/>
        <w:rPr>
          <w:b w:val="0"/>
          <w:color w:val="0D0D0D"/>
          <w:sz w:val="24"/>
          <w:szCs w:val="24"/>
        </w:rPr>
      </w:pPr>
    </w:p>
    <w:p w14:paraId="28B6CC25" w14:textId="1ADDF6E1" w:rsidR="001D505D" w:rsidRDefault="001D505D" w:rsidP="001D505D"/>
    <w:p w14:paraId="5054CD56" w14:textId="77777777" w:rsidR="001D505D" w:rsidRPr="001D505D" w:rsidRDefault="001D505D" w:rsidP="001D505D"/>
    <w:p w14:paraId="2A7D5512" w14:textId="368705DC"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150A41B" w:rsidR="00E66558" w:rsidRDefault="009D71E8">
      <w:r>
        <w:t>Budgeted cost: £</w:t>
      </w:r>
      <w:r w:rsidR="00D4169F">
        <w:t>9,970</w:t>
      </w:r>
    </w:p>
    <w:tbl>
      <w:tblPr>
        <w:tblW w:w="5081" w:type="pct"/>
        <w:tblInd w:w="-431" w:type="dxa"/>
        <w:tblLayout w:type="fixed"/>
        <w:tblCellMar>
          <w:left w:w="10" w:type="dxa"/>
          <w:right w:w="10" w:type="dxa"/>
        </w:tblCellMar>
        <w:tblLook w:val="04A0" w:firstRow="1" w:lastRow="0" w:firstColumn="1" w:lastColumn="0" w:noHBand="0" w:noVBand="1"/>
      </w:tblPr>
      <w:tblGrid>
        <w:gridCol w:w="1844"/>
        <w:gridCol w:w="6379"/>
        <w:gridCol w:w="1417"/>
      </w:tblGrid>
      <w:tr w:rsidR="00E66558" w14:paraId="2A7D5519" w14:textId="77777777" w:rsidTr="00EA0AE5">
        <w:tc>
          <w:tcPr>
            <w:tcW w:w="18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637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EA0AE5">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187BD53" w:rsidR="00E66558" w:rsidRPr="002748CD" w:rsidRDefault="00D4169F" w:rsidP="00DE6017">
            <w:pPr>
              <w:pStyle w:val="TableRow"/>
              <w:ind w:left="0" w:right="0"/>
              <w:rPr>
                <w:sz w:val="20"/>
                <w:szCs w:val="20"/>
              </w:rPr>
            </w:pPr>
            <w:r w:rsidRPr="002748CD">
              <w:rPr>
                <w:sz w:val="20"/>
                <w:szCs w:val="20"/>
              </w:rPr>
              <w:t xml:space="preserve">Developing high quality teaching, assessment and a broad and balanced </w:t>
            </w:r>
            <w:proofErr w:type="gramStart"/>
            <w:r w:rsidRPr="002748CD">
              <w:rPr>
                <w:sz w:val="20"/>
                <w:szCs w:val="20"/>
              </w:rPr>
              <w:t>knowledge based</w:t>
            </w:r>
            <w:proofErr w:type="gramEnd"/>
            <w:r w:rsidRPr="002748CD">
              <w:rPr>
                <w:sz w:val="20"/>
                <w:szCs w:val="20"/>
              </w:rPr>
              <w:t xml:space="preserve"> curriculum which responds </w:t>
            </w:r>
            <w:r w:rsidR="00DE6017" w:rsidRPr="002748CD">
              <w:rPr>
                <w:sz w:val="20"/>
                <w:szCs w:val="20"/>
              </w:rPr>
              <w:t xml:space="preserve">to </w:t>
            </w:r>
            <w:r w:rsidRPr="002748CD">
              <w:rPr>
                <w:sz w:val="20"/>
                <w:szCs w:val="20"/>
              </w:rPr>
              <w:t xml:space="preserve">the needs of pupils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B914" w14:textId="77777777" w:rsidR="00E66558" w:rsidRPr="005C3B5B" w:rsidRDefault="00DB4FC1" w:rsidP="00C31636">
            <w:pPr>
              <w:pStyle w:val="TableRowCentered"/>
              <w:ind w:left="0" w:right="0"/>
              <w:jc w:val="left"/>
              <w:rPr>
                <w:sz w:val="20"/>
              </w:rPr>
            </w:pPr>
            <w:r w:rsidRPr="005C3B5B">
              <w:rPr>
                <w:sz w:val="20"/>
              </w:rPr>
              <w:t xml:space="preserve">Evidence indicates that high quality teaching is the most powerful way for schools to improve pupil attainment, especially for socio-economically disadvantaged pupils. Schools should focus on curriculum development and purposeful use of assessment. This could include the selection of </w:t>
            </w:r>
            <w:proofErr w:type="gramStart"/>
            <w:r w:rsidRPr="005C3B5B">
              <w:rPr>
                <w:sz w:val="20"/>
              </w:rPr>
              <w:t>high quality</w:t>
            </w:r>
            <w:proofErr w:type="gramEnd"/>
            <w:r w:rsidRPr="005C3B5B">
              <w:rPr>
                <w:sz w:val="20"/>
              </w:rPr>
              <w:t xml:space="preserve"> curriculum materials or the use of standardised assessments. </w:t>
            </w:r>
          </w:p>
          <w:p w14:paraId="21F9D1A0" w14:textId="77A671D6" w:rsidR="00DB4FC1" w:rsidRPr="005C3B5B" w:rsidRDefault="00DB4FC1" w:rsidP="00C31636">
            <w:pPr>
              <w:pStyle w:val="TableRowCentered"/>
              <w:ind w:left="0" w:right="0"/>
              <w:jc w:val="left"/>
              <w:rPr>
                <w:sz w:val="20"/>
              </w:rPr>
            </w:pPr>
            <w:hyperlink r:id="rId8" w:history="1">
              <w:r w:rsidRPr="005C3B5B">
                <w:rPr>
                  <w:rStyle w:val="Hyperlink"/>
                  <w:sz w:val="20"/>
                </w:rPr>
                <w:t>https://educationendowmentfoundation.org.uk/education-evidence/teaching-learning-toolkit</w:t>
              </w:r>
            </w:hyperlink>
          </w:p>
          <w:p w14:paraId="2B55EA38" w14:textId="7D332125" w:rsidR="00DB4FC1" w:rsidRPr="005C3B5B" w:rsidRDefault="00DB4FC1" w:rsidP="00C31636">
            <w:pPr>
              <w:pStyle w:val="TableRowCentered"/>
              <w:ind w:left="0" w:right="0"/>
              <w:jc w:val="left"/>
              <w:rPr>
                <w:sz w:val="20"/>
              </w:rPr>
            </w:pPr>
          </w:p>
          <w:p w14:paraId="2D8B78C3" w14:textId="4ADA9A17" w:rsidR="00DB4FC1" w:rsidRPr="005C3B5B" w:rsidRDefault="00DB4FC1" w:rsidP="00C31636">
            <w:pPr>
              <w:pStyle w:val="TableRowCentered"/>
              <w:ind w:left="0" w:right="0"/>
              <w:jc w:val="left"/>
              <w:rPr>
                <w:sz w:val="20"/>
              </w:rPr>
            </w:pPr>
            <w:hyperlink r:id="rId9" w:history="1">
              <w:r w:rsidRPr="005C3B5B">
                <w:rPr>
                  <w:rStyle w:val="Hyperlink"/>
                  <w:sz w:val="20"/>
                </w:rPr>
                <w:t>https://educationendowmentfoundation.org.uk/education-evidence/guidance-reports</w:t>
              </w:r>
            </w:hyperlink>
          </w:p>
          <w:p w14:paraId="2A7D551B" w14:textId="37E027ED" w:rsidR="00DB4FC1" w:rsidRPr="005C3B5B" w:rsidRDefault="00DB4FC1" w:rsidP="00C31636">
            <w:pPr>
              <w:pStyle w:val="TableRowCentered"/>
              <w:ind w:left="0" w:right="0"/>
              <w:jc w:val="left"/>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1C1B6A" w:rsidR="00E66558" w:rsidRPr="005C3B5B" w:rsidRDefault="00C2782D" w:rsidP="00C31636">
            <w:pPr>
              <w:pStyle w:val="TableRowCentered"/>
              <w:ind w:left="0" w:right="0"/>
              <w:jc w:val="left"/>
              <w:rPr>
                <w:sz w:val="20"/>
              </w:rPr>
            </w:pPr>
            <w:r w:rsidRPr="005C3B5B">
              <w:rPr>
                <w:sz w:val="20"/>
              </w:rPr>
              <w:t xml:space="preserve">1,2,3 </w:t>
            </w:r>
          </w:p>
        </w:tc>
      </w:tr>
      <w:tr w:rsidR="00E66558" w14:paraId="2A7D5521" w14:textId="77777777" w:rsidTr="00EA0AE5">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E86A59C" w:rsidR="00E66558" w:rsidRPr="002748CD" w:rsidRDefault="002748CD" w:rsidP="00C31636">
            <w:pPr>
              <w:pStyle w:val="TableRow"/>
              <w:ind w:left="0" w:right="0"/>
              <w:rPr>
                <w:sz w:val="20"/>
                <w:szCs w:val="20"/>
              </w:rPr>
            </w:pPr>
            <w:r>
              <w:rPr>
                <w:sz w:val="20"/>
                <w:szCs w:val="20"/>
              </w:rPr>
              <w:t xml:space="preserve">Embed the school’s </w:t>
            </w:r>
            <w:r w:rsidR="00D4169F" w:rsidRPr="002748CD">
              <w:rPr>
                <w:sz w:val="20"/>
                <w:szCs w:val="20"/>
              </w:rPr>
              <w:t xml:space="preserve">Blueprint </w:t>
            </w:r>
            <w:r>
              <w:rPr>
                <w:sz w:val="20"/>
                <w:szCs w:val="20"/>
              </w:rPr>
              <w:t>for learning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B1FB" w14:textId="77777777" w:rsidR="00DE6017" w:rsidRPr="005C3B5B" w:rsidRDefault="00DE6017" w:rsidP="00DE6017">
            <w:pPr>
              <w:pStyle w:val="TableRowCentered"/>
              <w:ind w:left="0" w:right="0"/>
              <w:jc w:val="left"/>
              <w:rPr>
                <w:sz w:val="20"/>
              </w:rPr>
            </w:pPr>
            <w:r w:rsidRPr="005C3B5B">
              <w:rPr>
                <w:sz w:val="20"/>
              </w:rPr>
              <w:t xml:space="preserve">Research indicates that </w:t>
            </w:r>
            <w:proofErr w:type="gramStart"/>
            <w:r w:rsidRPr="005C3B5B">
              <w:rPr>
                <w:sz w:val="20"/>
              </w:rPr>
              <w:t>evidence based</w:t>
            </w:r>
            <w:proofErr w:type="gramEnd"/>
            <w:r w:rsidRPr="005C3B5B">
              <w:rPr>
                <w:sz w:val="20"/>
              </w:rPr>
              <w:t xml:space="preserve"> learning principles (such as </w:t>
            </w:r>
            <w:proofErr w:type="spellStart"/>
            <w:r w:rsidRPr="005C3B5B">
              <w:rPr>
                <w:sz w:val="20"/>
              </w:rPr>
              <w:t>Rosenshine’s</w:t>
            </w:r>
            <w:proofErr w:type="spellEnd"/>
            <w:r w:rsidRPr="005C3B5B">
              <w:rPr>
                <w:sz w:val="20"/>
              </w:rPr>
              <w:t xml:space="preserve"> Principles) lead to effective teaching and improved student attainment</w:t>
            </w:r>
          </w:p>
          <w:p w14:paraId="7E90AFF0" w14:textId="77777777" w:rsidR="00DE6017" w:rsidRPr="005C3B5B" w:rsidRDefault="00DE6017" w:rsidP="00DE6017">
            <w:pPr>
              <w:pStyle w:val="TableRowCentered"/>
              <w:ind w:left="0" w:right="0"/>
              <w:jc w:val="left"/>
              <w:rPr>
                <w:sz w:val="20"/>
              </w:rPr>
            </w:pPr>
          </w:p>
          <w:p w14:paraId="0FBA8E84" w14:textId="77777777" w:rsidR="00DE6017" w:rsidRPr="005C3B5B" w:rsidRDefault="00DE6017" w:rsidP="00DE6017">
            <w:pPr>
              <w:pStyle w:val="TableRowCentered"/>
              <w:ind w:left="0" w:right="0"/>
              <w:jc w:val="left"/>
              <w:rPr>
                <w:sz w:val="20"/>
              </w:rPr>
            </w:pPr>
            <w:r w:rsidRPr="005C3B5B">
              <w:rPr>
                <w:sz w:val="20"/>
              </w:rPr>
              <w:t>Sutton Trust</w:t>
            </w:r>
          </w:p>
          <w:p w14:paraId="2A7D551F" w14:textId="02FA090A" w:rsidR="00E66558" w:rsidRPr="005C3B5B" w:rsidRDefault="00DE6017" w:rsidP="00DE6017">
            <w:pPr>
              <w:pStyle w:val="TableRowCentered"/>
              <w:ind w:left="0" w:right="0"/>
              <w:jc w:val="left"/>
              <w:rPr>
                <w:sz w:val="20"/>
              </w:rPr>
            </w:pPr>
            <w:hyperlink r:id="rId10" w:history="1">
              <w:r w:rsidRPr="005C3B5B">
                <w:rPr>
                  <w:rStyle w:val="Hyperlink"/>
                  <w:sz w:val="20"/>
                </w:rPr>
                <w:t>What-makes-great-teaching-FINAL-4.11.14-1.pdf</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AEDDB46" w:rsidR="00E66558" w:rsidRPr="005C3B5B" w:rsidRDefault="00DE6017" w:rsidP="00C31636">
            <w:pPr>
              <w:pStyle w:val="TableRowCentered"/>
              <w:ind w:left="0" w:right="0"/>
              <w:jc w:val="left"/>
              <w:rPr>
                <w:sz w:val="20"/>
              </w:rPr>
            </w:pPr>
            <w:r w:rsidRPr="005C3B5B">
              <w:rPr>
                <w:sz w:val="20"/>
              </w:rPr>
              <w:t>1,2,3</w:t>
            </w:r>
          </w:p>
        </w:tc>
      </w:tr>
      <w:tr w:rsidR="00D4169F" w14:paraId="5FD31EBF" w14:textId="77777777" w:rsidTr="00EA0AE5">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9D1B" w14:textId="77777777" w:rsidR="00D4169F" w:rsidRPr="005C3B5B" w:rsidRDefault="00DE6017" w:rsidP="00DE6017">
            <w:pPr>
              <w:pStyle w:val="TableRow"/>
              <w:ind w:left="0" w:right="0"/>
              <w:jc w:val="both"/>
              <w:rPr>
                <w:b/>
                <w:sz w:val="20"/>
                <w:szCs w:val="20"/>
                <w:u w:val="single"/>
              </w:rPr>
            </w:pPr>
            <w:r w:rsidRPr="005C3B5B">
              <w:rPr>
                <w:b/>
                <w:sz w:val="20"/>
                <w:szCs w:val="20"/>
                <w:u w:val="single"/>
              </w:rPr>
              <w:t>P</w:t>
            </w:r>
            <w:r w:rsidR="00D4169F" w:rsidRPr="005C3B5B">
              <w:rPr>
                <w:b/>
                <w:sz w:val="20"/>
                <w:szCs w:val="20"/>
                <w:u w:val="single"/>
              </w:rPr>
              <w:t>honics</w:t>
            </w:r>
          </w:p>
          <w:p w14:paraId="4998AA3A" w14:textId="51C84C1F" w:rsidR="00DE6017" w:rsidRPr="005C3B5B" w:rsidRDefault="00DE6017" w:rsidP="00DE6017">
            <w:pPr>
              <w:pStyle w:val="TableRow"/>
              <w:ind w:left="0" w:right="0"/>
              <w:rPr>
                <w:b/>
                <w:sz w:val="20"/>
                <w:szCs w:val="20"/>
                <w:u w:val="single"/>
              </w:rPr>
            </w:pPr>
            <w:r w:rsidRPr="005C3B5B">
              <w:rPr>
                <w:iCs/>
                <w:sz w:val="20"/>
                <w:szCs w:val="20"/>
              </w:rPr>
              <w:t xml:space="preserve">Professional development to support the continued implementation of the synthetic phonics programme and support for older pupils who need it.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1804" w14:textId="77777777" w:rsidR="00DE6017" w:rsidRPr="005C3B5B" w:rsidRDefault="00DE6017" w:rsidP="00DE6017">
            <w:pPr>
              <w:pStyle w:val="TableRowCentered"/>
              <w:ind w:left="0" w:right="0"/>
              <w:jc w:val="left"/>
              <w:rPr>
                <w:sz w:val="20"/>
              </w:rPr>
            </w:pPr>
            <w:r w:rsidRPr="005C3B5B">
              <w:rPr>
                <w:sz w:val="20"/>
              </w:rPr>
              <w:t>Phonics approaches have a strong evidence base that indicates a positive impact on the accuracy of word reading, particularly for disadvantaged pupils:</w:t>
            </w:r>
          </w:p>
          <w:p w14:paraId="29DC2AD8" w14:textId="77777777" w:rsidR="00DE6017" w:rsidRPr="005C3B5B" w:rsidRDefault="00DE6017" w:rsidP="00DE6017">
            <w:pPr>
              <w:pStyle w:val="TableRowCentered"/>
              <w:ind w:left="0" w:right="0"/>
              <w:jc w:val="left"/>
              <w:rPr>
                <w:sz w:val="20"/>
              </w:rPr>
            </w:pPr>
            <w:hyperlink r:id="rId11" w:history="1">
              <w:r w:rsidRPr="005C3B5B">
                <w:rPr>
                  <w:rStyle w:val="Hyperlink"/>
                  <w:sz w:val="20"/>
                </w:rPr>
                <w:t>Evidence brief: Using research evidence to support your spending decisions | Education Endowment Foundation</w:t>
              </w:r>
            </w:hyperlink>
          </w:p>
          <w:p w14:paraId="7E646EB1" w14:textId="77777777" w:rsidR="00DE6017" w:rsidRPr="005C3B5B" w:rsidRDefault="00DE6017" w:rsidP="00DE6017">
            <w:pPr>
              <w:pStyle w:val="TableRowCentered"/>
              <w:ind w:left="0" w:right="0"/>
              <w:jc w:val="left"/>
              <w:rPr>
                <w:sz w:val="20"/>
              </w:rPr>
            </w:pPr>
          </w:p>
          <w:p w14:paraId="00C740A0" w14:textId="1CE5ADB0" w:rsidR="00D4169F" w:rsidRPr="005C3B5B" w:rsidRDefault="00DE6017" w:rsidP="00DE6017">
            <w:pPr>
              <w:pStyle w:val="TableRowCentered"/>
              <w:ind w:left="0" w:right="0"/>
              <w:jc w:val="left"/>
              <w:rPr>
                <w:sz w:val="20"/>
              </w:rPr>
            </w:pPr>
            <w:hyperlink r:id="rId12" w:history="1">
              <w:r w:rsidRPr="005C3B5B">
                <w:rPr>
                  <w:rStyle w:val="Hyperlink"/>
                  <w:sz w:val="20"/>
                </w:rPr>
                <w:t>Our pedagogy | Letters and Sounds</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ED86" w14:textId="135BFCD2" w:rsidR="00D4169F" w:rsidRPr="005C3B5B" w:rsidRDefault="00DE6017" w:rsidP="00C31636">
            <w:pPr>
              <w:pStyle w:val="TableRowCentered"/>
              <w:ind w:left="0" w:right="0"/>
              <w:jc w:val="left"/>
              <w:rPr>
                <w:sz w:val="20"/>
              </w:rPr>
            </w:pPr>
            <w:r w:rsidRPr="005C3B5B">
              <w:rPr>
                <w:sz w:val="20"/>
              </w:rPr>
              <w:t xml:space="preserve">1,2,3 </w:t>
            </w:r>
          </w:p>
        </w:tc>
      </w:tr>
      <w:tr w:rsidR="00D4169F" w14:paraId="69CBD3F7" w14:textId="77777777" w:rsidTr="00EA0AE5">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AC0D" w14:textId="77777777" w:rsidR="00D4169F" w:rsidRPr="005C3B5B" w:rsidRDefault="00DE6017" w:rsidP="00C31636">
            <w:pPr>
              <w:pStyle w:val="TableRow"/>
              <w:ind w:left="0" w:right="0"/>
              <w:rPr>
                <w:b/>
                <w:sz w:val="20"/>
                <w:szCs w:val="20"/>
                <w:u w:val="single"/>
              </w:rPr>
            </w:pPr>
            <w:r w:rsidRPr="005C3B5B">
              <w:rPr>
                <w:b/>
                <w:sz w:val="20"/>
                <w:szCs w:val="20"/>
                <w:u w:val="single"/>
              </w:rPr>
              <w:t>T</w:t>
            </w:r>
            <w:r w:rsidR="00D4169F" w:rsidRPr="005C3B5B">
              <w:rPr>
                <w:b/>
                <w:sz w:val="20"/>
                <w:szCs w:val="20"/>
                <w:u w:val="single"/>
              </w:rPr>
              <w:t>echnology</w:t>
            </w:r>
          </w:p>
          <w:p w14:paraId="6B44D8D0" w14:textId="0CF3E1D0" w:rsidR="00DE6017" w:rsidRPr="005C3B5B" w:rsidRDefault="00DE6017" w:rsidP="00C31636">
            <w:pPr>
              <w:pStyle w:val="TableRow"/>
              <w:ind w:left="0" w:right="0"/>
              <w:rPr>
                <w:b/>
                <w:sz w:val="20"/>
                <w:szCs w:val="20"/>
                <w:u w:val="single"/>
              </w:rPr>
            </w:pPr>
            <w:r w:rsidRPr="005C3B5B">
              <w:rPr>
                <w:iCs/>
                <w:sz w:val="20"/>
                <w:szCs w:val="20"/>
              </w:rPr>
              <w:t>Technology and other resources are used to support high quality teaching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F3B7" w14:textId="77777777" w:rsidR="00B11524" w:rsidRPr="005C3B5B" w:rsidRDefault="00B11524" w:rsidP="00B11524">
            <w:pPr>
              <w:pStyle w:val="TableRowCentered"/>
              <w:ind w:left="0" w:right="0"/>
              <w:jc w:val="left"/>
              <w:rPr>
                <w:sz w:val="20"/>
              </w:rPr>
            </w:pPr>
            <w:r w:rsidRPr="005C3B5B">
              <w:rPr>
                <w:sz w:val="20"/>
              </w:rPr>
              <w:t>Use of technology has an evidence base to support retrieval to strengthen long term memory</w:t>
            </w:r>
          </w:p>
          <w:p w14:paraId="230462FD" w14:textId="77777777" w:rsidR="00B11524" w:rsidRPr="005C3B5B" w:rsidRDefault="00B11524" w:rsidP="00B11524">
            <w:pPr>
              <w:pStyle w:val="TableRowCentered"/>
              <w:ind w:left="0" w:right="0"/>
              <w:jc w:val="left"/>
              <w:rPr>
                <w:sz w:val="20"/>
              </w:rPr>
            </w:pPr>
            <w:hyperlink r:id="rId13" w:history="1">
              <w:r w:rsidRPr="005C3B5B">
                <w:rPr>
                  <w:color w:val="0000FF"/>
                  <w:sz w:val="20"/>
                  <w:u w:val="single"/>
                </w:rPr>
                <w:t>EEF_Digital_Technology_Guidance_Report.pdf</w:t>
              </w:r>
            </w:hyperlink>
          </w:p>
          <w:p w14:paraId="7A563D87" w14:textId="77777777" w:rsidR="00B11524" w:rsidRPr="005C3B5B" w:rsidRDefault="00B11524" w:rsidP="00B11524">
            <w:pPr>
              <w:pStyle w:val="TableRowCentered"/>
              <w:ind w:left="0" w:right="0"/>
              <w:jc w:val="left"/>
              <w:rPr>
                <w:sz w:val="20"/>
              </w:rPr>
            </w:pPr>
          </w:p>
          <w:p w14:paraId="4B3E8C3D" w14:textId="77777777" w:rsidR="00D4169F" w:rsidRPr="005C3B5B" w:rsidRDefault="00D4169F" w:rsidP="00C31636">
            <w:pPr>
              <w:pStyle w:val="TableRowCentered"/>
              <w:ind w:left="0" w:right="0"/>
              <w:jc w:val="left"/>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D08F" w14:textId="17476C00" w:rsidR="00D4169F" w:rsidRPr="005C3B5B" w:rsidRDefault="00C908FC" w:rsidP="00C31636">
            <w:pPr>
              <w:pStyle w:val="TableRowCentered"/>
              <w:ind w:left="0" w:right="0"/>
              <w:jc w:val="left"/>
              <w:rPr>
                <w:sz w:val="20"/>
              </w:rPr>
            </w:pPr>
            <w:r w:rsidRPr="005C3B5B">
              <w:rPr>
                <w:sz w:val="20"/>
              </w:rPr>
              <w:t xml:space="preserve">1,2,3 </w:t>
            </w:r>
          </w:p>
        </w:tc>
      </w:tr>
      <w:tr w:rsidR="00D4169F" w14:paraId="6BD82FE2" w14:textId="77777777" w:rsidTr="00EA0AE5">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E451" w14:textId="5ED7B792" w:rsidR="00D4169F" w:rsidRPr="002748CD" w:rsidRDefault="002748CD" w:rsidP="00C31636">
            <w:pPr>
              <w:pStyle w:val="TableRow"/>
              <w:ind w:left="0" w:right="0"/>
              <w:rPr>
                <w:iCs/>
                <w:sz w:val="20"/>
                <w:szCs w:val="20"/>
              </w:rPr>
            </w:pPr>
            <w:r>
              <w:rPr>
                <w:iCs/>
                <w:sz w:val="20"/>
                <w:szCs w:val="20"/>
              </w:rPr>
              <w:t>Train pupils and embed p</w:t>
            </w:r>
            <w:r w:rsidR="00D4169F" w:rsidRPr="002748CD">
              <w:rPr>
                <w:iCs/>
                <w:sz w:val="20"/>
                <w:szCs w:val="20"/>
              </w:rPr>
              <w:t xml:space="preserve">eer mentoring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334" w14:textId="77777777" w:rsidR="00DB4FC1" w:rsidRPr="005C3B5B" w:rsidRDefault="009A71BF" w:rsidP="00C31636">
            <w:pPr>
              <w:pStyle w:val="TableRowCentered"/>
              <w:ind w:left="0" w:right="0"/>
              <w:jc w:val="left"/>
              <w:rPr>
                <w:sz w:val="20"/>
              </w:rPr>
            </w:pPr>
            <w:r w:rsidRPr="005C3B5B">
              <w:rPr>
                <w:sz w:val="20"/>
              </w:rPr>
              <w:t xml:space="preserve">The national institute of teaching’s mentoring and coaching of teachers research report </w:t>
            </w:r>
            <w:r w:rsidR="00DB4FC1" w:rsidRPr="005C3B5B">
              <w:rPr>
                <w:sz w:val="20"/>
              </w:rPr>
              <w:t xml:space="preserve">gives an overview of the research underpinning mentoring and coaching </w:t>
            </w:r>
            <w:hyperlink r:id="rId14" w:history="1">
              <w:r w:rsidR="00DB4FC1" w:rsidRPr="005C3B5B">
                <w:rPr>
                  <w:rStyle w:val="Hyperlink"/>
                  <w:sz w:val="20"/>
                </w:rPr>
                <w:t>https://niot.s3.amazonaws.com/documents/NIOT_mentoring_and_coaching_-_Key_Takeaways.pdf</w:t>
              </w:r>
            </w:hyperlink>
          </w:p>
          <w:p w14:paraId="4473C4AF" w14:textId="77777777" w:rsidR="00EA0AE5" w:rsidRPr="005C3B5B" w:rsidRDefault="00EA0AE5" w:rsidP="00C31636">
            <w:pPr>
              <w:pStyle w:val="TableRowCentered"/>
              <w:ind w:left="0" w:right="0"/>
              <w:jc w:val="left"/>
              <w:rPr>
                <w:sz w:val="20"/>
              </w:rPr>
            </w:pPr>
          </w:p>
          <w:p w14:paraId="2CC0BECD" w14:textId="490AB900" w:rsidR="00EA0AE5" w:rsidRPr="005C3B5B" w:rsidRDefault="00EA0AE5" w:rsidP="00C31636">
            <w:pPr>
              <w:pStyle w:val="TableRowCentered"/>
              <w:ind w:left="0" w:right="0"/>
              <w:jc w:val="left"/>
              <w:rPr>
                <w:sz w:val="20"/>
              </w:rPr>
            </w:pPr>
            <w:hyperlink r:id="rId15" w:history="1">
              <w:r w:rsidRPr="005C3B5B">
                <w:rPr>
                  <w:rStyle w:val="Hyperlink"/>
                  <w:sz w:val="20"/>
                </w:rPr>
                <w:t>https://educationendowmentfoundation.org.uk/education-evidence/teaching-learning-toolkit/peer-tutoring</w:t>
              </w:r>
            </w:hyperlink>
          </w:p>
          <w:p w14:paraId="04DBC5E1" w14:textId="1FBCE598" w:rsidR="00EA0AE5" w:rsidRPr="005C3B5B" w:rsidRDefault="00EA0AE5" w:rsidP="00C31636">
            <w:pPr>
              <w:pStyle w:val="TableRowCentered"/>
              <w:ind w:left="0" w:right="0"/>
              <w:jc w:val="left"/>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0307" w14:textId="0309F9B8" w:rsidR="00D4169F" w:rsidRPr="005C3B5B" w:rsidRDefault="00DB4FC1" w:rsidP="00C31636">
            <w:pPr>
              <w:pStyle w:val="TableRowCentered"/>
              <w:ind w:left="0" w:right="0"/>
              <w:jc w:val="left"/>
              <w:rPr>
                <w:sz w:val="20"/>
              </w:rPr>
            </w:pPr>
            <w:r w:rsidRPr="005C3B5B">
              <w:rPr>
                <w:sz w:val="20"/>
              </w:rPr>
              <w:lastRenderedPageBreak/>
              <w:t xml:space="preserve">1,2,3 </w:t>
            </w:r>
          </w:p>
        </w:tc>
      </w:tr>
    </w:tbl>
    <w:p w14:paraId="641A57D0" w14:textId="4DB659EA" w:rsidR="005C3B5B" w:rsidRDefault="005C3B5B" w:rsidP="00ED5108"/>
    <w:p w14:paraId="2EF32BF8" w14:textId="77777777" w:rsidR="005C3B5B" w:rsidRDefault="005C3B5B"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BF9540D" w:rsidR="00E66558" w:rsidRDefault="009D71E8">
      <w:r>
        <w:t>Budgeted cost: £</w:t>
      </w:r>
      <w:r w:rsidR="00D4169F">
        <w:t>4,985</w:t>
      </w:r>
    </w:p>
    <w:tbl>
      <w:tblPr>
        <w:tblW w:w="5227" w:type="pct"/>
        <w:tblInd w:w="-431" w:type="dxa"/>
        <w:tblCellMar>
          <w:left w:w="10" w:type="dxa"/>
          <w:right w:w="10" w:type="dxa"/>
        </w:tblCellMar>
        <w:tblLook w:val="04A0" w:firstRow="1" w:lastRow="0" w:firstColumn="1" w:lastColumn="0" w:noHBand="0" w:noVBand="1"/>
      </w:tblPr>
      <w:tblGrid>
        <w:gridCol w:w="2509"/>
        <w:gridCol w:w="5253"/>
        <w:gridCol w:w="2155"/>
      </w:tblGrid>
      <w:tr w:rsidR="00E66558" w14:paraId="2A7D5528" w14:textId="77777777" w:rsidTr="00EA0AE5">
        <w:tc>
          <w:tcPr>
            <w:tcW w:w="31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rsidRPr="001D505D" w14:paraId="2A7D552C" w14:textId="77777777" w:rsidTr="00EA0AE5">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BD69E3C" w:rsidR="00E66558" w:rsidRPr="001D505D" w:rsidRDefault="00D4169F" w:rsidP="00C31636">
            <w:pPr>
              <w:pStyle w:val="TableRow"/>
              <w:ind w:left="0" w:right="0"/>
              <w:rPr>
                <w:sz w:val="20"/>
                <w:szCs w:val="20"/>
              </w:rPr>
            </w:pPr>
            <w:r w:rsidRPr="001D505D">
              <w:rPr>
                <w:iCs/>
                <w:sz w:val="20"/>
                <w:szCs w:val="20"/>
              </w:rPr>
              <w:t>Targeted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09F" w14:textId="5236433C" w:rsidR="00EA0AE5" w:rsidRPr="001D505D" w:rsidRDefault="00EA0AE5" w:rsidP="00C31636">
            <w:pPr>
              <w:pStyle w:val="TableRowCentered"/>
              <w:ind w:left="0" w:right="0"/>
              <w:jc w:val="left"/>
              <w:rPr>
                <w:sz w:val="20"/>
              </w:rPr>
            </w:pPr>
            <w:r w:rsidRPr="001D505D">
              <w:rPr>
                <w:sz w:val="20"/>
              </w:rPr>
              <w:t xml:space="preserve">Targeted academic support can support pupil progress and can be employed to develop language development, Literacy or Numeracy as well as other subject areas. </w:t>
            </w:r>
          </w:p>
          <w:p w14:paraId="5BDE232C" w14:textId="4BB88EE7" w:rsidR="00E66558" w:rsidRPr="001D505D" w:rsidRDefault="00EA0AE5" w:rsidP="00C31636">
            <w:pPr>
              <w:pStyle w:val="TableRowCentered"/>
              <w:ind w:left="0" w:right="0"/>
              <w:jc w:val="left"/>
              <w:rPr>
                <w:sz w:val="20"/>
              </w:rPr>
            </w:pPr>
            <w:hyperlink r:id="rId16" w:history="1">
              <w:r w:rsidRPr="001D505D">
                <w:rPr>
                  <w:rStyle w:val="Hyperlink"/>
                  <w:sz w:val="20"/>
                </w:rPr>
                <w:t>https://educatinendowmentfoundation.org.uk/education-evidence/teaching-learning-toolkit</w:t>
              </w:r>
            </w:hyperlink>
          </w:p>
          <w:p w14:paraId="33D55E17" w14:textId="56EE12D4" w:rsidR="00EA0AE5" w:rsidRPr="001D505D" w:rsidRDefault="00EA0AE5" w:rsidP="00C31636">
            <w:pPr>
              <w:pStyle w:val="TableRowCentered"/>
              <w:ind w:left="0" w:right="0"/>
              <w:jc w:val="left"/>
              <w:rPr>
                <w:sz w:val="20"/>
              </w:rPr>
            </w:pPr>
            <w:hyperlink r:id="rId17" w:history="1">
              <w:r w:rsidRPr="001D505D">
                <w:rPr>
                  <w:rStyle w:val="Hyperlink"/>
                  <w:sz w:val="20"/>
                </w:rPr>
                <w:t>https://educationendowmentfoundation.org.uk/early-years/toolkit</w:t>
              </w:r>
            </w:hyperlink>
          </w:p>
          <w:p w14:paraId="2A7D552A" w14:textId="772DD1C5" w:rsidR="00EA0AE5" w:rsidRPr="001D505D" w:rsidRDefault="00EA0AE5" w:rsidP="00C31636">
            <w:pPr>
              <w:pStyle w:val="TableRowCentered"/>
              <w:ind w:left="0" w:right="0"/>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2FFD31" w:rsidR="00E66558" w:rsidRPr="001D505D" w:rsidRDefault="00682131" w:rsidP="00C31636">
            <w:pPr>
              <w:pStyle w:val="TableRowCentered"/>
              <w:ind w:left="0" w:right="0"/>
              <w:jc w:val="left"/>
              <w:rPr>
                <w:sz w:val="20"/>
              </w:rPr>
            </w:pPr>
            <w:r w:rsidRPr="001D505D">
              <w:rPr>
                <w:sz w:val="20"/>
              </w:rPr>
              <w:t>1,2,3</w:t>
            </w:r>
          </w:p>
        </w:tc>
      </w:tr>
      <w:tr w:rsidR="00E66558" w:rsidRPr="001D505D" w14:paraId="2A7D5530" w14:textId="77777777" w:rsidTr="00EA0AE5">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93B08B8" w:rsidR="00E66558" w:rsidRPr="001D505D" w:rsidRDefault="00D4169F" w:rsidP="00C31636">
            <w:pPr>
              <w:pStyle w:val="TableRow"/>
              <w:ind w:left="0" w:right="0"/>
              <w:rPr>
                <w:sz w:val="20"/>
                <w:szCs w:val="20"/>
              </w:rPr>
            </w:pPr>
            <w:r w:rsidRPr="001D505D">
              <w:rPr>
                <w:sz w:val="20"/>
                <w:szCs w:val="20"/>
              </w:rPr>
              <w:t>Targets int</w:t>
            </w:r>
            <w:r w:rsidR="00DB4FC1" w:rsidRPr="001D505D">
              <w:rPr>
                <w:sz w:val="20"/>
                <w:szCs w:val="20"/>
              </w:rPr>
              <w:t>erventions</w:t>
            </w:r>
            <w:r w:rsidRPr="001D505D">
              <w:rPr>
                <w:sz w:val="20"/>
                <w:szCs w:val="20"/>
              </w:rPr>
              <w:t xml:space="preserve"> – send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1F10" w14:textId="36955E23" w:rsidR="00E66558" w:rsidRPr="001D505D" w:rsidRDefault="00EA0AE5" w:rsidP="00C31636">
            <w:pPr>
              <w:pStyle w:val="TableRowCentered"/>
              <w:ind w:left="0" w:right="0"/>
              <w:jc w:val="left"/>
              <w:rPr>
                <w:sz w:val="20"/>
              </w:rPr>
            </w:pPr>
            <w:r w:rsidRPr="001D505D">
              <w:rPr>
                <w:sz w:val="20"/>
              </w:rPr>
              <w:t xml:space="preserve">Disadvantaged pupils with SEND have the greatest need for excellent teaching. </w:t>
            </w:r>
          </w:p>
          <w:p w14:paraId="2A7D552E" w14:textId="51418801" w:rsidR="00EA0AE5" w:rsidRPr="001D505D" w:rsidRDefault="00EA0AE5" w:rsidP="00C31636">
            <w:pPr>
              <w:pStyle w:val="TableRowCentered"/>
              <w:ind w:left="0" w:right="0"/>
              <w:jc w:val="left"/>
              <w:rPr>
                <w:sz w:val="20"/>
              </w:rPr>
            </w:pPr>
            <w:hyperlink r:id="rId18" w:history="1">
              <w:r w:rsidRPr="001D505D">
                <w:rPr>
                  <w:rStyle w:val="Hyperlink"/>
                  <w:sz w:val="20"/>
                </w:rPr>
                <w:t>https://educationendowmentfoundation.org.uk/education-evidence/guidance-reports/send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5B5BC87" w:rsidR="00E66558" w:rsidRPr="001D505D" w:rsidRDefault="00682131" w:rsidP="00C31636">
            <w:pPr>
              <w:pStyle w:val="TableRowCentered"/>
              <w:ind w:left="0" w:right="0"/>
              <w:jc w:val="left"/>
              <w:rPr>
                <w:sz w:val="20"/>
              </w:rPr>
            </w:pPr>
            <w:r w:rsidRPr="001D505D">
              <w:rPr>
                <w:sz w:val="20"/>
              </w:rPr>
              <w:t>1,2,3</w:t>
            </w:r>
          </w:p>
        </w:tc>
      </w:tr>
      <w:tr w:rsidR="00D4169F" w:rsidRPr="001D505D" w14:paraId="62CB6704" w14:textId="77777777" w:rsidTr="00EA0AE5">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08FA" w14:textId="3580CD32" w:rsidR="00D4169F" w:rsidRPr="001D505D" w:rsidRDefault="00D4169F" w:rsidP="00C31636">
            <w:pPr>
              <w:pStyle w:val="TableRow"/>
              <w:ind w:left="0" w:right="0"/>
              <w:rPr>
                <w:sz w:val="20"/>
                <w:szCs w:val="20"/>
              </w:rPr>
            </w:pPr>
            <w:r w:rsidRPr="001D505D">
              <w:rPr>
                <w:sz w:val="20"/>
                <w:szCs w:val="20"/>
              </w:rPr>
              <w:t xml:space="preserve">TA deployment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235B" w14:textId="77D23E07" w:rsidR="00D4169F" w:rsidRPr="001D505D" w:rsidRDefault="00EA0AE5" w:rsidP="00C31636">
            <w:pPr>
              <w:pStyle w:val="TableRowCentered"/>
              <w:ind w:left="0" w:right="0"/>
              <w:jc w:val="left"/>
              <w:rPr>
                <w:sz w:val="20"/>
              </w:rPr>
            </w:pPr>
            <w:r w:rsidRPr="001D505D">
              <w:rPr>
                <w:sz w:val="20"/>
              </w:rPr>
              <w:t xml:space="preserve">Strategic deployment of teaching assistants is important to ensuring that priority </w:t>
            </w:r>
            <w:r w:rsidR="00682131" w:rsidRPr="001D505D">
              <w:rPr>
                <w:sz w:val="20"/>
              </w:rPr>
              <w:t>pupils</w:t>
            </w:r>
            <w:r w:rsidRPr="001D505D">
              <w:rPr>
                <w:sz w:val="20"/>
              </w:rPr>
              <w:t xml:space="preserve"> are supported. </w:t>
            </w:r>
          </w:p>
          <w:p w14:paraId="7C314BD2" w14:textId="060FCC4B" w:rsidR="00682131" w:rsidRPr="001D505D" w:rsidRDefault="00682131" w:rsidP="00C31636">
            <w:pPr>
              <w:pStyle w:val="TableRowCentered"/>
              <w:ind w:left="0" w:right="0"/>
              <w:jc w:val="left"/>
              <w:rPr>
                <w:sz w:val="20"/>
              </w:rPr>
            </w:pPr>
            <w:hyperlink r:id="rId19" w:history="1">
              <w:r w:rsidRPr="001D505D">
                <w:rPr>
                  <w:rStyle w:val="Hyperlink"/>
                  <w:sz w:val="20"/>
                </w:rPr>
                <w:t>https://educationendowmentfoundation.org.uk/education-evidence/guidance-reports/teaching-assistants</w:t>
              </w:r>
            </w:hyperlink>
          </w:p>
          <w:p w14:paraId="01D1343E" w14:textId="5D0E655C" w:rsidR="00682131" w:rsidRPr="001D505D" w:rsidRDefault="00682131" w:rsidP="00C31636">
            <w:pPr>
              <w:pStyle w:val="TableRowCentered"/>
              <w:ind w:left="0" w:right="0"/>
              <w:jc w:val="left"/>
              <w:rPr>
                <w:sz w:val="20"/>
              </w:rPr>
            </w:pPr>
            <w:hyperlink r:id="rId20" w:history="1">
              <w:r w:rsidRPr="001D505D">
                <w:rPr>
                  <w:rStyle w:val="Hyperlink"/>
                  <w:sz w:val="20"/>
                </w:rPr>
                <w:t>https://educationendowmentfoundation.org.uk/education-evidence/teaching-learning-toolkit/teaching-assistant-interventions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E4B2" w14:textId="4D273168" w:rsidR="00D4169F" w:rsidRPr="001D505D" w:rsidRDefault="00682131" w:rsidP="00C31636">
            <w:pPr>
              <w:pStyle w:val="TableRowCentered"/>
              <w:ind w:left="0" w:right="0"/>
              <w:jc w:val="left"/>
              <w:rPr>
                <w:sz w:val="20"/>
              </w:rPr>
            </w:pPr>
            <w:r w:rsidRPr="001D505D">
              <w:rPr>
                <w:sz w:val="20"/>
              </w:rPr>
              <w:t>1,2,3</w:t>
            </w:r>
          </w:p>
        </w:tc>
      </w:tr>
    </w:tbl>
    <w:p w14:paraId="2A7D5531" w14:textId="32E05D9D" w:rsidR="00E66558" w:rsidRPr="001D505D" w:rsidRDefault="00E66558" w:rsidP="00AA355B">
      <w:pPr>
        <w:rPr>
          <w:sz w:val="20"/>
          <w:szCs w:val="20"/>
        </w:rPr>
      </w:pPr>
    </w:p>
    <w:p w14:paraId="64740E00" w14:textId="7F6140E7" w:rsidR="005C3B5B" w:rsidRPr="001D505D" w:rsidRDefault="005C3B5B" w:rsidP="00AA355B">
      <w:pPr>
        <w:rPr>
          <w:sz w:val="20"/>
          <w:szCs w:val="20"/>
        </w:rPr>
      </w:pPr>
    </w:p>
    <w:p w14:paraId="5103CED6" w14:textId="0810E35F" w:rsidR="005C3B5B" w:rsidRPr="001D505D" w:rsidRDefault="005C3B5B" w:rsidP="00AA355B">
      <w:pPr>
        <w:rPr>
          <w:sz w:val="20"/>
          <w:szCs w:val="20"/>
        </w:rPr>
      </w:pPr>
    </w:p>
    <w:p w14:paraId="09C4921E" w14:textId="199CCCC6" w:rsidR="005C3B5B" w:rsidRDefault="005C3B5B" w:rsidP="00AA355B"/>
    <w:p w14:paraId="78C555D6" w14:textId="51206EB3" w:rsidR="001D505D" w:rsidRDefault="001D505D" w:rsidP="00AA355B">
      <w:pPr>
        <w:pStyle w:val="Heading3"/>
      </w:pPr>
    </w:p>
    <w:p w14:paraId="6443BB5E" w14:textId="77777777" w:rsidR="000016D9" w:rsidRPr="000016D9" w:rsidRDefault="000016D9" w:rsidP="000016D9"/>
    <w:p w14:paraId="2A7D5532" w14:textId="5322CAA7" w:rsidR="00E66558" w:rsidRPr="00AA355B" w:rsidRDefault="009D71E8" w:rsidP="00AA355B">
      <w:pPr>
        <w:pStyle w:val="Heading3"/>
      </w:pPr>
      <w:r>
        <w:lastRenderedPageBreak/>
        <w:t>Wider strategies (for example, related to attendance, behaviour, wellbeing)</w:t>
      </w:r>
    </w:p>
    <w:p w14:paraId="2A7D5533" w14:textId="38F5CC96" w:rsidR="00E66558" w:rsidRDefault="009D71E8">
      <w:pPr>
        <w:spacing w:before="240" w:after="120"/>
      </w:pPr>
      <w:r>
        <w:t>Budgeted cost: £</w:t>
      </w:r>
      <w:r w:rsidR="00682131">
        <w:t>4,985</w:t>
      </w:r>
    </w:p>
    <w:tbl>
      <w:tblPr>
        <w:tblW w:w="5000" w:type="pct"/>
        <w:tblCellMar>
          <w:left w:w="10" w:type="dxa"/>
          <w:right w:w="10" w:type="dxa"/>
        </w:tblCellMar>
        <w:tblLook w:val="04A0" w:firstRow="1" w:lastRow="0" w:firstColumn="1" w:lastColumn="0" w:noHBand="0" w:noVBand="1"/>
      </w:tblPr>
      <w:tblGrid>
        <w:gridCol w:w="2199"/>
        <w:gridCol w:w="5253"/>
        <w:gridCol w:w="203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E3B2" w14:textId="30121415" w:rsidR="00E66558" w:rsidRPr="002748CD" w:rsidRDefault="00D4169F" w:rsidP="00C31636">
            <w:pPr>
              <w:pStyle w:val="TableRow"/>
              <w:ind w:left="0" w:right="0"/>
              <w:rPr>
                <w:sz w:val="20"/>
                <w:szCs w:val="20"/>
              </w:rPr>
            </w:pPr>
            <w:r w:rsidRPr="002748CD">
              <w:rPr>
                <w:sz w:val="20"/>
                <w:szCs w:val="20"/>
              </w:rPr>
              <w:t>Supporting pupils social emotional and behavioural needs</w:t>
            </w:r>
            <w:r w:rsidR="002748CD">
              <w:rPr>
                <w:sz w:val="20"/>
                <w:szCs w:val="20"/>
              </w:rPr>
              <w:t xml:space="preserve"> through:</w:t>
            </w:r>
          </w:p>
          <w:p w14:paraId="2F7731DE" w14:textId="77777777" w:rsidR="001065B8" w:rsidRPr="002748CD" w:rsidRDefault="001065B8" w:rsidP="00C31636">
            <w:pPr>
              <w:pStyle w:val="TableRow"/>
              <w:ind w:left="0" w:right="0"/>
              <w:rPr>
                <w:sz w:val="20"/>
                <w:szCs w:val="20"/>
              </w:rPr>
            </w:pPr>
          </w:p>
          <w:p w14:paraId="444C966C" w14:textId="065D25EA" w:rsidR="001065B8" w:rsidRPr="002748CD" w:rsidRDefault="002748CD" w:rsidP="00C31636">
            <w:pPr>
              <w:pStyle w:val="TableRow"/>
              <w:ind w:left="0" w:right="0"/>
              <w:rPr>
                <w:sz w:val="20"/>
                <w:szCs w:val="20"/>
              </w:rPr>
            </w:pPr>
            <w:r>
              <w:rPr>
                <w:sz w:val="20"/>
                <w:szCs w:val="20"/>
              </w:rPr>
              <w:t xml:space="preserve">Work with the </w:t>
            </w:r>
            <w:r w:rsidR="001065B8" w:rsidRPr="002748CD">
              <w:rPr>
                <w:sz w:val="20"/>
                <w:szCs w:val="20"/>
              </w:rPr>
              <w:t>Charlie Waller</w:t>
            </w:r>
            <w:r>
              <w:rPr>
                <w:sz w:val="20"/>
                <w:szCs w:val="20"/>
              </w:rPr>
              <w:t xml:space="preserve"> Trust</w:t>
            </w:r>
          </w:p>
          <w:p w14:paraId="695E1DBA" w14:textId="77777777" w:rsidR="001065B8" w:rsidRPr="002748CD" w:rsidRDefault="001065B8" w:rsidP="00C31636">
            <w:pPr>
              <w:pStyle w:val="TableRow"/>
              <w:ind w:left="0" w:right="0"/>
              <w:rPr>
                <w:sz w:val="20"/>
                <w:szCs w:val="20"/>
              </w:rPr>
            </w:pPr>
            <w:r w:rsidRPr="002748CD">
              <w:rPr>
                <w:sz w:val="20"/>
                <w:szCs w:val="20"/>
              </w:rPr>
              <w:t>Thrive</w:t>
            </w:r>
          </w:p>
          <w:p w14:paraId="70A71C40" w14:textId="77777777" w:rsidR="001065B8" w:rsidRPr="002748CD" w:rsidRDefault="001065B8" w:rsidP="00C31636">
            <w:pPr>
              <w:pStyle w:val="TableRow"/>
              <w:ind w:left="0" w:right="0"/>
              <w:rPr>
                <w:sz w:val="20"/>
                <w:szCs w:val="20"/>
              </w:rPr>
            </w:pPr>
            <w:r w:rsidRPr="002748CD">
              <w:rPr>
                <w:sz w:val="20"/>
                <w:szCs w:val="20"/>
              </w:rPr>
              <w:t>ELSA</w:t>
            </w:r>
          </w:p>
          <w:p w14:paraId="2A7D5538" w14:textId="4392D818" w:rsidR="001065B8" w:rsidRPr="002748CD" w:rsidRDefault="002748CD" w:rsidP="00C31636">
            <w:pPr>
              <w:pStyle w:val="TableRow"/>
              <w:ind w:left="0" w:right="0"/>
              <w:rPr>
                <w:sz w:val="20"/>
                <w:szCs w:val="20"/>
              </w:rPr>
            </w:pPr>
            <w:r>
              <w:rPr>
                <w:sz w:val="20"/>
                <w:szCs w:val="20"/>
              </w:rPr>
              <w:t>A relational approach to our b</w:t>
            </w:r>
            <w:r w:rsidR="001065B8" w:rsidRPr="002748CD">
              <w:rPr>
                <w:sz w:val="20"/>
                <w:szCs w:val="20"/>
              </w:rPr>
              <w:t>ehaviour policy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7D18" w14:textId="537088E5" w:rsidR="00682131" w:rsidRPr="00BE7D2A" w:rsidRDefault="00682131" w:rsidP="00BE7D2A">
            <w:pPr>
              <w:pStyle w:val="TableRow"/>
              <w:ind w:left="0" w:right="0"/>
              <w:rPr>
                <w:iCs/>
                <w:sz w:val="20"/>
                <w:szCs w:val="20"/>
              </w:rPr>
            </w:pPr>
            <w:r w:rsidRPr="00682131">
              <w:rPr>
                <w:color w:val="000000"/>
                <w:sz w:val="20"/>
              </w:rPr>
              <w:t xml:space="preserve">Social and emotional skills are protective factors for mental health. They equip children with the tools and resources to address mental health challenges that interfere with life, learning and well-being (for example, difficulty regulating emotions, concentrating, and interacting with peers) </w:t>
            </w:r>
            <w:r w:rsidR="00BE7D2A">
              <w:rPr>
                <w:color w:val="000000"/>
                <w:sz w:val="20"/>
              </w:rPr>
              <w:t>Example to support this include</w:t>
            </w:r>
            <w:r w:rsidR="00BE7D2A" w:rsidRPr="00682131">
              <w:rPr>
                <w:i/>
                <w:iCs/>
                <w:sz w:val="20"/>
                <w:szCs w:val="20"/>
              </w:rPr>
              <w:t xml:space="preserve"> </w:t>
            </w:r>
            <w:r w:rsidR="00BE7D2A" w:rsidRPr="00BE7D2A">
              <w:rPr>
                <w:iCs/>
                <w:sz w:val="20"/>
                <w:szCs w:val="20"/>
              </w:rPr>
              <w:t>Charlie Waller, Thrive, ELSA, Behaviour policy</w:t>
            </w:r>
          </w:p>
          <w:p w14:paraId="3A6A8769" w14:textId="2E74E6C8" w:rsidR="00682131" w:rsidRPr="00682131" w:rsidRDefault="00682131" w:rsidP="00C31636">
            <w:pPr>
              <w:pStyle w:val="TableRowCentered"/>
              <w:ind w:left="0" w:right="0"/>
              <w:jc w:val="left"/>
              <w:rPr>
                <w:color w:val="000000"/>
                <w:sz w:val="20"/>
              </w:rPr>
            </w:pPr>
            <w:hyperlink r:id="rId21" w:history="1">
              <w:r w:rsidRPr="00682131">
                <w:rPr>
                  <w:rStyle w:val="Hyperlink"/>
                  <w:sz w:val="20"/>
                </w:rPr>
                <w:t>EEF_Social_and_Emotional_Learning.pdf</w:t>
              </w:r>
            </w:hyperlink>
          </w:p>
          <w:p w14:paraId="3353B2FD" w14:textId="77777777" w:rsidR="00682131" w:rsidRPr="00682131" w:rsidRDefault="00682131" w:rsidP="00682131">
            <w:pPr>
              <w:spacing w:before="60" w:after="60" w:line="240" w:lineRule="auto"/>
              <w:rPr>
                <w:sz w:val="20"/>
                <w:szCs w:val="20"/>
              </w:rPr>
            </w:pPr>
            <w:r w:rsidRPr="00682131">
              <w:rPr>
                <w:sz w:val="20"/>
                <w:szCs w:val="20"/>
              </w:rPr>
              <w:t>Longitudinal research in the UK has shown that good social and emotional skills—including self-regulation, self-awareness, and social skills—developed by the age of ten, are predictors of a range of adult outcomes, such as life satisfaction and wellbeing, labour market success, and good overall health.</w:t>
            </w:r>
          </w:p>
          <w:p w14:paraId="2A7D5539" w14:textId="5CF467DF" w:rsidR="00682131" w:rsidRPr="00BE7D2A" w:rsidRDefault="00682131" w:rsidP="00C31636">
            <w:pPr>
              <w:pStyle w:val="TableRowCentered"/>
              <w:ind w:left="0" w:right="0"/>
              <w:jc w:val="left"/>
              <w:rPr>
                <w:color w:val="000000"/>
                <w:sz w:val="20"/>
              </w:rPr>
            </w:pPr>
            <w:hyperlink r:id="rId22" w:history="1">
              <w:r w:rsidRPr="00682131">
                <w:rPr>
                  <w:color w:val="0000FF"/>
                  <w:sz w:val="20"/>
                  <w:u w:val="single"/>
                </w:rPr>
                <w:t>Improving Social and Emotional Learning in Primary Schools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3D2616" w:rsidR="00E66558" w:rsidRPr="00682131" w:rsidRDefault="005C3B5B" w:rsidP="00C31636">
            <w:pPr>
              <w:pStyle w:val="TableRowCentered"/>
              <w:ind w:left="0" w:right="0"/>
              <w:jc w:val="left"/>
              <w:rPr>
                <w:sz w:val="20"/>
              </w:rPr>
            </w:pPr>
            <w:r>
              <w:rPr>
                <w:sz w:val="20"/>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1DD4E5E" w:rsidR="00E66558" w:rsidRPr="002748CD" w:rsidRDefault="00D4169F" w:rsidP="00C31636">
            <w:pPr>
              <w:pStyle w:val="TableRow"/>
              <w:ind w:left="0" w:right="0"/>
              <w:rPr>
                <w:sz w:val="20"/>
                <w:szCs w:val="20"/>
              </w:rPr>
            </w:pPr>
            <w:r w:rsidRPr="002748CD">
              <w:rPr>
                <w:sz w:val="20"/>
                <w:szCs w:val="20"/>
              </w:rPr>
              <w:t>Supporting attendance</w:t>
            </w:r>
            <w:r w:rsidR="002748CD">
              <w:rPr>
                <w:sz w:val="20"/>
                <w:szCs w:val="20"/>
              </w:rPr>
              <w:t xml:space="preserve"> through work with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87AF" w14:textId="0356398C" w:rsidR="00E66558" w:rsidRPr="00BE7D2A" w:rsidRDefault="00682131" w:rsidP="00BE7D2A">
            <w:pPr>
              <w:pStyle w:val="TableRowCentered"/>
              <w:ind w:left="0" w:right="0"/>
              <w:jc w:val="left"/>
              <w:rPr>
                <w:color w:val="auto"/>
                <w:sz w:val="20"/>
              </w:rPr>
            </w:pPr>
            <w:r>
              <w:rPr>
                <w:sz w:val="20"/>
              </w:rPr>
              <w:t>Some parental communication approaches and targeted parental engagement interventions</w:t>
            </w:r>
            <w:r w:rsidR="00360BAC">
              <w:rPr>
                <w:sz w:val="20"/>
              </w:rPr>
              <w:t xml:space="preserve"> show promise in supporting pupil attendance. </w:t>
            </w:r>
            <w:r w:rsidR="00BE7D2A">
              <w:rPr>
                <w:sz w:val="20"/>
              </w:rPr>
              <w:t xml:space="preserve">This may involve </w:t>
            </w:r>
            <w:r w:rsidR="00BE7D2A" w:rsidRPr="00154246">
              <w:rPr>
                <w:color w:val="auto"/>
                <w:sz w:val="20"/>
              </w:rPr>
              <w:t>Mental health training</w:t>
            </w:r>
            <w:r w:rsidR="00BE7D2A">
              <w:rPr>
                <w:color w:val="auto"/>
                <w:sz w:val="20"/>
              </w:rPr>
              <w:t xml:space="preserve"> sessions to support children e.g.</w:t>
            </w:r>
            <w:r w:rsidR="00BE7D2A" w:rsidRPr="00154246">
              <w:rPr>
                <w:color w:val="auto"/>
                <w:sz w:val="20"/>
              </w:rPr>
              <w:t xml:space="preserve"> Charlie Waller Trust</w:t>
            </w:r>
            <w:r w:rsidR="00BE7D2A">
              <w:rPr>
                <w:color w:val="auto"/>
                <w:sz w:val="20"/>
              </w:rPr>
              <w:t xml:space="preserve"> and parental courses offered by </w:t>
            </w:r>
            <w:proofErr w:type="spellStart"/>
            <w:r w:rsidR="00BE7D2A">
              <w:rPr>
                <w:color w:val="auto"/>
                <w:sz w:val="20"/>
              </w:rPr>
              <w:t>Spurgeons</w:t>
            </w:r>
            <w:proofErr w:type="spellEnd"/>
            <w:r w:rsidR="002748CD">
              <w:rPr>
                <w:color w:val="auto"/>
                <w:sz w:val="20"/>
              </w:rPr>
              <w:t>, coffee mornings, guest speakers / workshops /1:1 work with SENCO</w:t>
            </w:r>
            <w:r w:rsidR="00BE7D2A">
              <w:rPr>
                <w:color w:val="auto"/>
                <w:sz w:val="20"/>
              </w:rPr>
              <w:t xml:space="preserve"> </w:t>
            </w:r>
          </w:p>
          <w:p w14:paraId="2A7D553D" w14:textId="13BB4357" w:rsidR="00360BAC" w:rsidRPr="00682131" w:rsidRDefault="00360BAC" w:rsidP="00C31636">
            <w:pPr>
              <w:pStyle w:val="TableRowCentered"/>
              <w:ind w:left="0" w:right="0"/>
              <w:jc w:val="left"/>
              <w:rPr>
                <w:sz w:val="20"/>
              </w:rPr>
            </w:pPr>
            <w:hyperlink r:id="rId23" w:history="1">
              <w:r w:rsidRPr="00444A47">
                <w:rPr>
                  <w:rStyle w:val="Hyperlink"/>
                  <w:sz w:val="20"/>
                </w:rPr>
                <w:t>https://educationendowmentfoundation.org.uk/education-evidence/leadership-and-planning/supporting-attendance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E646300" w:rsidR="00E66558" w:rsidRPr="00682131" w:rsidRDefault="005C3B5B" w:rsidP="00C31636">
            <w:pPr>
              <w:pStyle w:val="TableRowCentered"/>
              <w:ind w:left="0" w:right="0"/>
              <w:jc w:val="left"/>
              <w:rPr>
                <w:sz w:val="20"/>
              </w:rPr>
            </w:pPr>
            <w:r>
              <w:rPr>
                <w:sz w:val="20"/>
              </w:rPr>
              <w:t>1,2,3,4</w:t>
            </w:r>
          </w:p>
        </w:tc>
      </w:tr>
      <w:tr w:rsidR="00D4169F" w14:paraId="2CBEDB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86C7" w14:textId="0D17EF03" w:rsidR="00D4169F" w:rsidRPr="002748CD" w:rsidRDefault="00360BAC" w:rsidP="00C31636">
            <w:pPr>
              <w:pStyle w:val="TableRow"/>
              <w:ind w:left="0" w:right="0"/>
              <w:rPr>
                <w:iCs/>
                <w:sz w:val="20"/>
                <w:szCs w:val="20"/>
              </w:rPr>
            </w:pPr>
            <w:r w:rsidRPr="002748CD">
              <w:rPr>
                <w:iCs/>
                <w:sz w:val="20"/>
                <w:szCs w:val="20"/>
              </w:rPr>
              <w:t>Extra-curricular</w:t>
            </w:r>
            <w:r w:rsidR="00D4169F" w:rsidRPr="002748CD">
              <w:rPr>
                <w:iCs/>
                <w:sz w:val="20"/>
                <w:szCs w:val="20"/>
              </w:rPr>
              <w:t xml:space="preserve"> activities – supporting pupils to attend music lessons, clubs and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CAEC" w14:textId="23C6B282" w:rsidR="00360BAC" w:rsidRDefault="00360BAC" w:rsidP="00C31636">
            <w:pPr>
              <w:pStyle w:val="TableRowCentered"/>
              <w:ind w:left="0" w:right="0"/>
              <w:jc w:val="left"/>
              <w:rPr>
                <w:sz w:val="20"/>
              </w:rPr>
            </w:pPr>
            <w:r>
              <w:rPr>
                <w:sz w:val="20"/>
              </w:rPr>
              <w:t>Extra-curricular activities are an important part of education. It is important to consider how increased engagement will be translated into improved outcomes.</w:t>
            </w:r>
            <w:r w:rsidR="00154246">
              <w:rPr>
                <w:sz w:val="20"/>
              </w:rPr>
              <w:t xml:space="preserve"> This may include music tuition, clubs run by outside providers as well as staff</w:t>
            </w:r>
            <w:r w:rsidR="00BE7D2A">
              <w:rPr>
                <w:sz w:val="20"/>
              </w:rPr>
              <w:t xml:space="preserve"> and trips. </w:t>
            </w:r>
          </w:p>
          <w:p w14:paraId="60318127" w14:textId="5A205892" w:rsidR="00D4169F" w:rsidRDefault="00360BAC" w:rsidP="00C31636">
            <w:pPr>
              <w:pStyle w:val="TableRowCentered"/>
              <w:ind w:left="0" w:right="0"/>
              <w:jc w:val="left"/>
              <w:rPr>
                <w:sz w:val="20"/>
              </w:rPr>
            </w:pPr>
            <w:hyperlink r:id="rId24" w:history="1">
              <w:r w:rsidRPr="00444A47">
                <w:rPr>
                  <w:rStyle w:val="Hyperlink"/>
                  <w:sz w:val="20"/>
                </w:rPr>
                <w:t>https://educationendowmentfoundation.org.uk/education-evidence/teaching-learning-toolkit/arts-participation</w:t>
              </w:r>
            </w:hyperlink>
          </w:p>
          <w:p w14:paraId="01B87171" w14:textId="25D22166" w:rsidR="00360BAC" w:rsidRPr="00682131" w:rsidRDefault="00360BAC" w:rsidP="00C31636">
            <w:pPr>
              <w:pStyle w:val="TableRowCentered"/>
              <w:ind w:left="0" w:right="0"/>
              <w:jc w:val="left"/>
              <w:rPr>
                <w:sz w:val="20"/>
              </w:rPr>
            </w:pPr>
            <w:hyperlink r:id="rId25" w:history="1">
              <w:r w:rsidRPr="00444A47">
                <w:rPr>
                  <w:rStyle w:val="Hyperlink"/>
                  <w:sz w:val="20"/>
                </w:rPr>
                <w:t>https://educationendowmentfoundation.org.uk/education-evidence/teaching-learning-toolkit/physical-activity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9F45" w14:textId="035175DB" w:rsidR="00D4169F" w:rsidRPr="00682131" w:rsidRDefault="005C3B5B" w:rsidP="00C31636">
            <w:pPr>
              <w:pStyle w:val="TableRowCentered"/>
              <w:ind w:left="0" w:right="0"/>
              <w:jc w:val="left"/>
              <w:rPr>
                <w:sz w:val="20"/>
              </w:rPr>
            </w:pPr>
            <w:r>
              <w:rPr>
                <w:sz w:val="20"/>
              </w:rPr>
              <w:t>5</w:t>
            </w:r>
          </w:p>
        </w:tc>
      </w:tr>
      <w:tr w:rsidR="00D4169F" w14:paraId="250BF91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67E" w14:textId="77777777" w:rsidR="00D4169F" w:rsidRPr="002748CD" w:rsidRDefault="00D4169F" w:rsidP="00C31636">
            <w:pPr>
              <w:pStyle w:val="TableRow"/>
              <w:ind w:left="0" w:right="0"/>
              <w:rPr>
                <w:iCs/>
                <w:sz w:val="20"/>
                <w:szCs w:val="20"/>
              </w:rPr>
            </w:pPr>
            <w:r w:rsidRPr="002748CD">
              <w:rPr>
                <w:iCs/>
                <w:sz w:val="20"/>
                <w:szCs w:val="20"/>
              </w:rPr>
              <w:t>Breakfast club</w:t>
            </w:r>
          </w:p>
          <w:p w14:paraId="2220C703" w14:textId="4AE41570" w:rsidR="00D4169F" w:rsidRPr="00682131" w:rsidRDefault="00D4169F" w:rsidP="00C31636">
            <w:pPr>
              <w:pStyle w:val="TableRow"/>
              <w:ind w:left="0" w:right="0"/>
              <w:rPr>
                <w:i/>
                <w:sz w:val="20"/>
                <w:szCs w:val="20"/>
              </w:rPr>
            </w:pPr>
            <w:r w:rsidRPr="002748CD">
              <w:rPr>
                <w:iCs/>
                <w:sz w:val="20"/>
                <w:szCs w:val="20"/>
              </w:rPr>
              <w:t xml:space="preserve">We will support parents financially with attendance </w:t>
            </w:r>
            <w:r w:rsidR="001065B8" w:rsidRPr="002748CD">
              <w:rPr>
                <w:iCs/>
                <w:sz w:val="20"/>
                <w:szCs w:val="20"/>
              </w:rPr>
              <w:t>at 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72B0" w14:textId="35FDB57C" w:rsidR="001065B8" w:rsidRPr="00BE7D2A" w:rsidRDefault="001065B8" w:rsidP="00BE7D2A">
            <w:pPr>
              <w:rPr>
                <w:sz w:val="20"/>
                <w:szCs w:val="20"/>
              </w:rPr>
            </w:pPr>
            <w:r w:rsidRPr="00682131">
              <w:rPr>
                <w:sz w:val="20"/>
                <w:szCs w:val="20"/>
              </w:rPr>
              <w:t>Attending a breakfast club run by school staff ensures ch</w:t>
            </w:r>
            <w:r w:rsidR="00682131" w:rsidRPr="00682131">
              <w:rPr>
                <w:sz w:val="20"/>
                <w:szCs w:val="20"/>
              </w:rPr>
              <w:t>ildren have a warm welcome and</w:t>
            </w:r>
            <w:r w:rsidR="00360BAC">
              <w:rPr>
                <w:sz w:val="20"/>
                <w:szCs w:val="20"/>
              </w:rPr>
              <w:t xml:space="preserve"> smooth start to the day. Pupils </w:t>
            </w:r>
            <w:r w:rsidRPr="00682131">
              <w:rPr>
                <w:sz w:val="20"/>
                <w:szCs w:val="20"/>
              </w:rPr>
              <w:t>are fed and ready to learn</w:t>
            </w:r>
            <w:r w:rsidR="00682131" w:rsidRPr="00682131">
              <w:rPr>
                <w:sz w:val="20"/>
                <w:szCs w:val="20"/>
              </w:rPr>
              <w:t>. There is some evidence that providing free, universal before school breakfast clubs can benefit pupils by preparing them for learning or supporting behaviour and school attendance.</w:t>
            </w:r>
            <w:r w:rsidR="00BE7D2A">
              <w:rPr>
                <w:sz w:val="20"/>
                <w:szCs w:val="20"/>
              </w:rPr>
              <w:t xml:space="preserve"> </w:t>
            </w:r>
            <w:hyperlink r:id="rId26" w:history="1">
              <w:r w:rsidR="00682131" w:rsidRPr="00682131">
                <w:rPr>
                  <w:color w:val="0000FF"/>
                  <w:sz w:val="20"/>
                  <w:u w:val="single"/>
                </w:rPr>
                <w:t>Evidence brief: Using research evidence to support your spending decisions | Education Endowment Foundation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B768" w14:textId="18ABD600" w:rsidR="00D4169F" w:rsidRPr="00682131" w:rsidRDefault="005C3B5B" w:rsidP="00C31636">
            <w:pPr>
              <w:pStyle w:val="TableRowCentered"/>
              <w:ind w:left="0" w:right="0"/>
              <w:jc w:val="left"/>
              <w:rPr>
                <w:sz w:val="20"/>
              </w:rPr>
            </w:pPr>
            <w:r>
              <w:rPr>
                <w:sz w:val="20"/>
              </w:rPr>
              <w:t>4</w:t>
            </w:r>
          </w:p>
        </w:tc>
      </w:tr>
      <w:tr w:rsidR="00D4169F" w14:paraId="0C5DEB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71615" w14:textId="463498CB" w:rsidR="00D4169F" w:rsidRPr="002748CD" w:rsidRDefault="00D4169F" w:rsidP="00C31636">
            <w:pPr>
              <w:pStyle w:val="TableRow"/>
              <w:ind w:left="0" w:right="0"/>
              <w:rPr>
                <w:iCs/>
                <w:sz w:val="20"/>
                <w:szCs w:val="20"/>
              </w:rPr>
            </w:pPr>
            <w:r w:rsidRPr="002748CD">
              <w:rPr>
                <w:iCs/>
                <w:sz w:val="20"/>
                <w:szCs w:val="20"/>
              </w:rPr>
              <w:t>Communicating and supporting parents</w:t>
            </w:r>
            <w:r w:rsidR="002748CD">
              <w:rPr>
                <w:iCs/>
                <w:sz w:val="20"/>
                <w:szCs w:val="20"/>
              </w:rPr>
              <w:t xml:space="preserve"> </w:t>
            </w:r>
            <w:r w:rsidR="002748CD">
              <w:rPr>
                <w:iCs/>
                <w:sz w:val="20"/>
                <w:szCs w:val="20"/>
              </w:rPr>
              <w:lastRenderedPageBreak/>
              <w:t>with academic achievement</w:t>
            </w:r>
            <w:r w:rsidRPr="002748CD">
              <w:rPr>
                <w:iCs/>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6C92" w14:textId="35D4BF37" w:rsidR="00D4169F" w:rsidRPr="00BE7D2A" w:rsidRDefault="001D505D" w:rsidP="00BE7D2A">
            <w:pPr>
              <w:pStyle w:val="TableRowCentered"/>
              <w:ind w:left="0" w:right="0"/>
              <w:jc w:val="left"/>
              <w:rPr>
                <w:color w:val="auto"/>
                <w:sz w:val="20"/>
                <w:u w:val="single"/>
              </w:rPr>
            </w:pPr>
            <w:r w:rsidRPr="001D505D">
              <w:rPr>
                <w:sz w:val="20"/>
              </w:rPr>
              <w:lastRenderedPageBreak/>
              <w:t>Levels of parental engagement are consistently associated with improved academic outcomes</w:t>
            </w:r>
            <w:r w:rsidR="008816E9">
              <w:rPr>
                <w:sz w:val="20"/>
              </w:rPr>
              <w:t xml:space="preserve"> and attendance</w:t>
            </w:r>
            <w:r w:rsidR="00BE7D2A">
              <w:rPr>
                <w:rStyle w:val="Hyperlink"/>
                <w:color w:val="auto"/>
                <w:sz w:val="20"/>
                <w:u w:val="none"/>
              </w:rPr>
              <w:t>, I</w:t>
            </w:r>
            <w:r w:rsidR="00BE7D2A" w:rsidRPr="00BE7D2A">
              <w:rPr>
                <w:rStyle w:val="Hyperlink"/>
                <w:color w:val="auto"/>
                <w:sz w:val="20"/>
                <w:u w:val="none"/>
              </w:rPr>
              <w:t>ncluding</w:t>
            </w:r>
            <w:r w:rsidR="00BE7D2A">
              <w:rPr>
                <w:rStyle w:val="Hyperlink"/>
                <w:color w:val="auto"/>
                <w:sz w:val="20"/>
                <w:u w:val="none"/>
              </w:rPr>
              <w:t xml:space="preserve"> </w:t>
            </w:r>
            <w:r w:rsidR="00BE7D2A" w:rsidRPr="00BE7D2A">
              <w:rPr>
                <w:sz w:val="20"/>
              </w:rPr>
              <w:t>Coffee</w:t>
            </w:r>
            <w:r w:rsidR="00BE7D2A" w:rsidRPr="00154246">
              <w:rPr>
                <w:sz w:val="20"/>
              </w:rPr>
              <w:t xml:space="preserve"> mornings</w:t>
            </w:r>
            <w:r w:rsidR="00BE7D2A">
              <w:rPr>
                <w:color w:val="auto"/>
                <w:sz w:val="20"/>
                <w:u w:val="single"/>
              </w:rPr>
              <w:t xml:space="preserve">. </w:t>
            </w:r>
            <w:r w:rsidR="00BE7D2A" w:rsidRPr="00154246">
              <w:rPr>
                <w:color w:val="auto"/>
                <w:sz w:val="20"/>
              </w:rPr>
              <w:t xml:space="preserve">Mental health </w:t>
            </w:r>
            <w:r w:rsidR="00BE7D2A" w:rsidRPr="00154246">
              <w:rPr>
                <w:color w:val="auto"/>
                <w:sz w:val="20"/>
              </w:rPr>
              <w:lastRenderedPageBreak/>
              <w:t>training to support children – Charlie Waller Trust</w:t>
            </w:r>
            <w:r w:rsidR="00BE7D2A">
              <w:rPr>
                <w:color w:val="auto"/>
                <w:sz w:val="20"/>
              </w:rPr>
              <w:t xml:space="preserve">, </w:t>
            </w:r>
            <w:r w:rsidR="00BE7D2A" w:rsidRPr="00154246">
              <w:rPr>
                <w:color w:val="auto"/>
                <w:sz w:val="20"/>
              </w:rPr>
              <w:t>Guest speakers / workshops</w:t>
            </w:r>
          </w:p>
          <w:p w14:paraId="25B84AAF" w14:textId="77777777" w:rsidR="001D505D" w:rsidRDefault="001D505D" w:rsidP="00C31636">
            <w:pPr>
              <w:pStyle w:val="TableRowCentered"/>
              <w:ind w:left="0" w:right="0"/>
              <w:jc w:val="left"/>
              <w:rPr>
                <w:rStyle w:val="Hyperlink"/>
                <w:sz w:val="20"/>
              </w:rPr>
            </w:pPr>
            <w:hyperlink r:id="rId27" w:history="1">
              <w:r w:rsidRPr="00444A47">
                <w:rPr>
                  <w:rStyle w:val="Hyperlink"/>
                  <w:sz w:val="20"/>
                </w:rPr>
                <w:t>https://educationendowmentfoundation.org.uk/education-evidence/teaching-learning-toolkit/parental-engagement</w:t>
              </w:r>
            </w:hyperlink>
          </w:p>
          <w:p w14:paraId="52B6FB12" w14:textId="7B9279DC" w:rsidR="008816E9" w:rsidRPr="008816E9" w:rsidRDefault="008816E9" w:rsidP="00BE7D2A">
            <w:pPr>
              <w:pStyle w:val="TableRowCentered"/>
              <w:ind w:left="0" w:right="0"/>
              <w:jc w:val="left"/>
              <w:rPr>
                <w:color w:val="0000FF"/>
                <w:u w:val="single"/>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BA67" w14:textId="47846CDC" w:rsidR="00D4169F" w:rsidRPr="00682131" w:rsidRDefault="005C3B5B" w:rsidP="00C31636">
            <w:pPr>
              <w:pStyle w:val="TableRowCentered"/>
              <w:ind w:left="0" w:right="0"/>
              <w:jc w:val="left"/>
              <w:rPr>
                <w:sz w:val="20"/>
              </w:rPr>
            </w:pPr>
            <w:r>
              <w:rPr>
                <w:sz w:val="20"/>
              </w:rPr>
              <w:lastRenderedPageBreak/>
              <w:t>5</w:t>
            </w:r>
          </w:p>
        </w:tc>
      </w:tr>
    </w:tbl>
    <w:p w14:paraId="7C93372A" w14:textId="77777777" w:rsidR="00154246" w:rsidRDefault="00154246" w:rsidP="000016D9">
      <w:pPr>
        <w:ind w:firstLine="720"/>
        <w:rPr>
          <w:b/>
          <w:bCs/>
          <w:color w:val="104F75"/>
          <w:sz w:val="28"/>
          <w:szCs w:val="28"/>
        </w:rPr>
      </w:pPr>
    </w:p>
    <w:p w14:paraId="2A7D555F" w14:textId="24375C88" w:rsidR="00E66558" w:rsidRDefault="000016D9" w:rsidP="002748CD">
      <w:pPr>
        <w:ind w:firstLine="720"/>
      </w:pPr>
      <w:r>
        <w:rPr>
          <w:b/>
          <w:bCs/>
          <w:color w:val="104F75"/>
          <w:sz w:val="28"/>
          <w:szCs w:val="28"/>
        </w:rPr>
        <w:t>T</w:t>
      </w:r>
      <w:r w:rsidR="00BE7D2A">
        <w:rPr>
          <w:b/>
          <w:bCs/>
          <w:color w:val="104F75"/>
          <w:sz w:val="28"/>
          <w:szCs w:val="28"/>
        </w:rPr>
        <w:t>otal budgeted cos</w:t>
      </w:r>
      <w:r w:rsidR="009D71E8">
        <w:rPr>
          <w:b/>
          <w:bCs/>
          <w:color w:val="104F75"/>
          <w:sz w:val="28"/>
          <w:szCs w:val="28"/>
        </w:rPr>
        <w:t xml:space="preserve">t: £ </w:t>
      </w:r>
      <w:r>
        <w:rPr>
          <w:i/>
          <w:iCs/>
          <w:color w:val="104F75"/>
          <w:sz w:val="28"/>
          <w:szCs w:val="28"/>
        </w:rPr>
        <w:t xml:space="preserve">19 940 </w:t>
      </w:r>
    </w:p>
    <w:bookmarkEnd w:id="14"/>
    <w:bookmarkEnd w:id="15"/>
    <w:bookmarkEnd w:id="16"/>
    <w:sectPr w:rsidR="00E66558">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6A6BAAD2" w:rsidR="00C373EA" w:rsidRDefault="009D71E8">
    <w:pPr>
      <w:pStyle w:val="Footer"/>
      <w:ind w:firstLine="4513"/>
    </w:pPr>
    <w:r>
      <w:fldChar w:fldCharType="begin"/>
    </w:r>
    <w:r>
      <w:instrText xml:space="preserve"> PAGE </w:instrText>
    </w:r>
    <w:r>
      <w:fldChar w:fldCharType="separate"/>
    </w:r>
    <w:r w:rsidR="00613F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ADD"/>
    <w:multiLevelType w:val="hybridMultilevel"/>
    <w:tmpl w:val="3B98988E"/>
    <w:lvl w:ilvl="0" w:tplc="D3EEF824">
      <w:start w:val="2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7A6A59"/>
    <w:multiLevelType w:val="hybridMultilevel"/>
    <w:tmpl w:val="711A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7E66A10"/>
    <w:multiLevelType w:val="hybridMultilevel"/>
    <w:tmpl w:val="720A7030"/>
    <w:lvl w:ilvl="0" w:tplc="6AF6C628">
      <w:start w:val="2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2809950">
    <w:abstractNumId w:val="7"/>
  </w:num>
  <w:num w:numId="2" w16cid:durableId="1464076505">
    <w:abstractNumId w:val="5"/>
  </w:num>
  <w:num w:numId="3" w16cid:durableId="329255860">
    <w:abstractNumId w:val="8"/>
  </w:num>
  <w:num w:numId="4" w16cid:durableId="994603141">
    <w:abstractNumId w:val="10"/>
  </w:num>
  <w:num w:numId="5" w16cid:durableId="412051147">
    <w:abstractNumId w:val="1"/>
  </w:num>
  <w:num w:numId="6" w16cid:durableId="1821997854">
    <w:abstractNumId w:val="11"/>
  </w:num>
  <w:num w:numId="7" w16cid:durableId="945386608">
    <w:abstractNumId w:val="15"/>
  </w:num>
  <w:num w:numId="8" w16cid:durableId="1885168682">
    <w:abstractNumId w:val="19"/>
  </w:num>
  <w:num w:numId="9" w16cid:durableId="1784108241">
    <w:abstractNumId w:val="17"/>
  </w:num>
  <w:num w:numId="10" w16cid:durableId="1681808728">
    <w:abstractNumId w:val="16"/>
  </w:num>
  <w:num w:numId="11" w16cid:durableId="601576525">
    <w:abstractNumId w:val="6"/>
  </w:num>
  <w:num w:numId="12" w16cid:durableId="680595453">
    <w:abstractNumId w:val="18"/>
  </w:num>
  <w:num w:numId="13" w16cid:durableId="905917408">
    <w:abstractNumId w:val="14"/>
  </w:num>
  <w:num w:numId="14" w16cid:durableId="113138326">
    <w:abstractNumId w:val="12"/>
  </w:num>
  <w:num w:numId="15" w16cid:durableId="227346100">
    <w:abstractNumId w:val="4"/>
  </w:num>
  <w:num w:numId="16" w16cid:durableId="1160460617">
    <w:abstractNumId w:val="3"/>
  </w:num>
  <w:num w:numId="17" w16cid:durableId="1094284275">
    <w:abstractNumId w:val="13"/>
  </w:num>
  <w:num w:numId="18" w16cid:durableId="819267659">
    <w:abstractNumId w:val="2"/>
  </w:num>
  <w:num w:numId="19" w16cid:durableId="1227838394">
    <w:abstractNumId w:val="0"/>
  </w:num>
  <w:num w:numId="20" w16cid:durableId="1900242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6D9"/>
    <w:rsid w:val="00003A45"/>
    <w:rsid w:val="00007067"/>
    <w:rsid w:val="00023729"/>
    <w:rsid w:val="000243B4"/>
    <w:rsid w:val="0002530E"/>
    <w:rsid w:val="0002710D"/>
    <w:rsid w:val="00031EA0"/>
    <w:rsid w:val="00036678"/>
    <w:rsid w:val="000452EB"/>
    <w:rsid w:val="00045603"/>
    <w:rsid w:val="000463AE"/>
    <w:rsid w:val="000507A3"/>
    <w:rsid w:val="00057C55"/>
    <w:rsid w:val="00060A62"/>
    <w:rsid w:val="00064366"/>
    <w:rsid w:val="00066B73"/>
    <w:rsid w:val="00071481"/>
    <w:rsid w:val="00071D77"/>
    <w:rsid w:val="000757D5"/>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065B8"/>
    <w:rsid w:val="00114288"/>
    <w:rsid w:val="00115538"/>
    <w:rsid w:val="00116FA8"/>
    <w:rsid w:val="00120AB1"/>
    <w:rsid w:val="00123A7F"/>
    <w:rsid w:val="001278D0"/>
    <w:rsid w:val="00127F72"/>
    <w:rsid w:val="00131C20"/>
    <w:rsid w:val="00140646"/>
    <w:rsid w:val="0014409B"/>
    <w:rsid w:val="00147A4B"/>
    <w:rsid w:val="00152554"/>
    <w:rsid w:val="00154246"/>
    <w:rsid w:val="00155944"/>
    <w:rsid w:val="001559D7"/>
    <w:rsid w:val="0016523C"/>
    <w:rsid w:val="001671ED"/>
    <w:rsid w:val="00170714"/>
    <w:rsid w:val="001712B6"/>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D505D"/>
    <w:rsid w:val="001E0ECA"/>
    <w:rsid w:val="001E206F"/>
    <w:rsid w:val="001E5750"/>
    <w:rsid w:val="001E5F7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48CD"/>
    <w:rsid w:val="00276FBA"/>
    <w:rsid w:val="00277665"/>
    <w:rsid w:val="002837AE"/>
    <w:rsid w:val="00287FA8"/>
    <w:rsid w:val="002920F4"/>
    <w:rsid w:val="002940F3"/>
    <w:rsid w:val="00295842"/>
    <w:rsid w:val="002B3574"/>
    <w:rsid w:val="002B6B74"/>
    <w:rsid w:val="002C6AE7"/>
    <w:rsid w:val="002D2D4B"/>
    <w:rsid w:val="002D3805"/>
    <w:rsid w:val="002D3A6F"/>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0BAC"/>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13B9"/>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47EAF"/>
    <w:rsid w:val="00452267"/>
    <w:rsid w:val="00453307"/>
    <w:rsid w:val="00454EE1"/>
    <w:rsid w:val="00455A02"/>
    <w:rsid w:val="00457E36"/>
    <w:rsid w:val="00460BD3"/>
    <w:rsid w:val="00462F8F"/>
    <w:rsid w:val="004708F2"/>
    <w:rsid w:val="00471D41"/>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32E9"/>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3B5B"/>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3FCD"/>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82131"/>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16E9"/>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0288"/>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A71BF"/>
    <w:rsid w:val="009B0906"/>
    <w:rsid w:val="009B38F2"/>
    <w:rsid w:val="009B7433"/>
    <w:rsid w:val="009C0914"/>
    <w:rsid w:val="009C27E5"/>
    <w:rsid w:val="009D1A80"/>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12A8"/>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524"/>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E7D2A"/>
    <w:rsid w:val="00BF0D5F"/>
    <w:rsid w:val="00BF30FC"/>
    <w:rsid w:val="00BF59B3"/>
    <w:rsid w:val="00BF6F95"/>
    <w:rsid w:val="00C10BCF"/>
    <w:rsid w:val="00C11EB4"/>
    <w:rsid w:val="00C12746"/>
    <w:rsid w:val="00C23C11"/>
    <w:rsid w:val="00C2441E"/>
    <w:rsid w:val="00C25827"/>
    <w:rsid w:val="00C274AA"/>
    <w:rsid w:val="00C2782D"/>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08FC"/>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169F"/>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B4FC1"/>
    <w:rsid w:val="00DC641A"/>
    <w:rsid w:val="00DD21A1"/>
    <w:rsid w:val="00DD68FB"/>
    <w:rsid w:val="00DD6B7D"/>
    <w:rsid w:val="00DD6E14"/>
    <w:rsid w:val="00DE15AC"/>
    <w:rsid w:val="00DE6017"/>
    <w:rsid w:val="00DF2015"/>
    <w:rsid w:val="00E061EC"/>
    <w:rsid w:val="00E0696B"/>
    <w:rsid w:val="00E10E81"/>
    <w:rsid w:val="00E13E51"/>
    <w:rsid w:val="00E21F56"/>
    <w:rsid w:val="00E271FC"/>
    <w:rsid w:val="00E3014F"/>
    <w:rsid w:val="00E4286E"/>
    <w:rsid w:val="00E43EAD"/>
    <w:rsid w:val="00E62DCB"/>
    <w:rsid w:val="00E651DD"/>
    <w:rsid w:val="00E66558"/>
    <w:rsid w:val="00E70D81"/>
    <w:rsid w:val="00E726A6"/>
    <w:rsid w:val="00E73418"/>
    <w:rsid w:val="00E8109E"/>
    <w:rsid w:val="00E85C23"/>
    <w:rsid w:val="00E86F05"/>
    <w:rsid w:val="00EA0AE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13" Type="http://schemas.openxmlformats.org/officeDocument/2006/relationships/hyperlink" Target="https://d2tic4wvo1iusb.cloudfront.net/eef-guidance-reports/digital/EEF_Digital_Technology_Guidance_Report.pdf?v=1635355216" TargetMode="External"/><Relationship Id="rId18" Type="http://schemas.openxmlformats.org/officeDocument/2006/relationships/hyperlink" Target="https://educationendowmentfoundation.org.uk/education-evidence/guidance-reports/send" TargetMode="External"/><Relationship Id="rId26" Type="http://schemas.openxmlformats.org/officeDocument/2006/relationships/hyperlink" Target="https://d2tic4wvo1iusb.cloudfront.net/production/documents/guidance-for-teachers/pupil-premium/guide_to_the_pupil_premium_-_evidence_brief.pdf?v=1726046314" TargetMode="External"/><Relationship Id="rId3" Type="http://schemas.openxmlformats.org/officeDocument/2006/relationships/styles" Target="styles.xml"/><Relationship Id="rId21" Type="http://schemas.openxmlformats.org/officeDocument/2006/relationships/hyperlink" Target="https://d2tic4wvo1iusb.cloudfront.net/production/eef-guidance-reports/primary-sel/EEF_Social_and_Emotional_Learning.pdf?v=1731773627" TargetMode="External"/><Relationship Id="rId7" Type="http://schemas.openxmlformats.org/officeDocument/2006/relationships/endnotes" Target="endnotes.xml"/><Relationship Id="rId12" Type="http://schemas.openxmlformats.org/officeDocument/2006/relationships/hyperlink" Target="https://www.littlewandlelettersandsounds.org.uk/about-us/our-pedagogy/" TargetMode="External"/><Relationship Id="rId17" Type="http://schemas.openxmlformats.org/officeDocument/2006/relationships/hyperlink" Target="https://educationendowmentfoundation.org.uk/early-years/toolkit" TargetMode="External"/><Relationship Id="rId25" Type="http://schemas.openxmlformats.org/officeDocument/2006/relationships/hyperlink" Target="https://educationendowmentfoundation.org.uk/education-evidence/teaching-learning-toolkit/physical-activity" TargetMode="External"/><Relationship Id="rId2" Type="http://schemas.openxmlformats.org/officeDocument/2006/relationships/numbering" Target="numbering.xml"/><Relationship Id="rId16" Type="http://schemas.openxmlformats.org/officeDocument/2006/relationships/hyperlink" Target="https://educatinendowmentfoundation.org.uk/education-evidence/teaching-learning-toolkit" TargetMode="External"/><Relationship Id="rId20" Type="http://schemas.openxmlformats.org/officeDocument/2006/relationships/hyperlink" Target="https://educationendowmentfoundation.org.uk/education-evidence/teaching-learning-toolkit/teaching-assistant-interven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tic4wvo1iusb.cloudfront.net/production/documents/guidance-for-teachers/pupil-premium/guide_to_the_pupil_premium_-_evidence_brief.pdf?v=1726046314" TargetMode="External"/><Relationship Id="rId24" Type="http://schemas.openxmlformats.org/officeDocument/2006/relationships/hyperlink" Target="https://educationendowmentfoundation.org.uk/education-evidence/teaching-learning-toolkit/arts-participation"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eer-tutoring" TargetMode="External"/><Relationship Id="rId23" Type="http://schemas.openxmlformats.org/officeDocument/2006/relationships/hyperlink" Target="https://educationendowmentfoundation.org.uk/education-evidence/leadership-and-planning/supporting-attendance" TargetMode="External"/><Relationship Id="rId28" Type="http://schemas.openxmlformats.org/officeDocument/2006/relationships/footer" Target="footer1.xml"/><Relationship Id="rId10" Type="http://schemas.openxmlformats.org/officeDocument/2006/relationships/hyperlink" Target="https://www.suttontrust.com/wp-content/uploads/2019/12/What-makes-great-teaching-FINAL-4.11.14-1.pdf" TargetMode="External"/><Relationship Id="rId19" Type="http://schemas.openxmlformats.org/officeDocument/2006/relationships/hyperlink" Target="https://educationendowmentfoundation.org.uk/education-evidence/guidance-reports/teaching-assistants"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guidance-reports" TargetMode="External"/><Relationship Id="rId14" Type="http://schemas.openxmlformats.org/officeDocument/2006/relationships/hyperlink" Target="https://niot.s3.amazonaws.com/documents/NIOT_mentoring_and_coaching_-_Key_Takeaways.pdf" TargetMode="External"/><Relationship Id="rId22" Type="http://schemas.openxmlformats.org/officeDocument/2006/relationships/hyperlink" Target="https://educationendowmentfoundation.org.uk/education-evidence/guidance-reports/primary-sel" TargetMode="External"/><Relationship Id="rId27" Type="http://schemas.openxmlformats.org/officeDocument/2006/relationships/hyperlink" Target="https://educationendowmentfoundation.org.uk/education-evidence/teaching-learning-toolkit/parental-engag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222E-1578-44C4-90D3-766F6CAA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Heather Saunders</cp:lastModifiedBy>
  <cp:revision>2</cp:revision>
  <cp:lastPrinted>2024-11-27T12:03:00Z</cp:lastPrinted>
  <dcterms:created xsi:type="dcterms:W3CDTF">2024-12-02T09:58:00Z</dcterms:created>
  <dcterms:modified xsi:type="dcterms:W3CDTF">2024-12-02T09:58:00Z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