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81AD9" w14:textId="11CFA3F7" w:rsidR="00F503B8" w:rsidRPr="00CB2583" w:rsidRDefault="00356C7A" w:rsidP="00462B30">
      <w:pPr>
        <w:spacing w:before="100" w:beforeAutospacing="1" w:after="100" w:afterAutospacing="1" w:line="240" w:lineRule="auto"/>
        <w:jc w:val="center"/>
        <w:outlineLvl w:val="0"/>
        <w:rPr>
          <w:rFonts w:eastAsia="Times New Roman" w:cs="Helvetica"/>
          <w:bCs/>
          <w:color w:val="444444"/>
          <w:kern w:val="36"/>
          <w:lang w:val="en-US" w:eastAsia="en-GB"/>
        </w:rPr>
      </w:pPr>
      <w:r>
        <w:rPr>
          <w:rFonts w:eastAsia="Times New Roman" w:cs="Helvetica"/>
          <w:bCs/>
          <w:color w:val="444444"/>
          <w:kern w:val="36"/>
          <w:lang w:val="en-US" w:eastAsia="en-GB"/>
        </w:rPr>
        <w:t>20</w:t>
      </w:r>
      <w:r w:rsidR="00A86EBC">
        <w:rPr>
          <w:rFonts w:eastAsia="Times New Roman" w:cs="Helvetica"/>
          <w:bCs/>
          <w:color w:val="444444"/>
          <w:kern w:val="36"/>
          <w:lang w:val="en-US" w:eastAsia="en-GB"/>
        </w:rPr>
        <w:t>22</w:t>
      </w:r>
      <w:r>
        <w:rPr>
          <w:rFonts w:eastAsia="Times New Roman" w:cs="Helvetica"/>
          <w:bCs/>
          <w:color w:val="444444"/>
          <w:kern w:val="36"/>
          <w:lang w:val="en-US" w:eastAsia="en-GB"/>
        </w:rPr>
        <w:t>/2</w:t>
      </w:r>
      <w:r w:rsidR="00A86EBC">
        <w:rPr>
          <w:rFonts w:eastAsia="Times New Roman" w:cs="Helvetica"/>
          <w:bCs/>
          <w:color w:val="444444"/>
          <w:kern w:val="36"/>
          <w:lang w:val="en-US" w:eastAsia="en-GB"/>
        </w:rPr>
        <w:t>3</w:t>
      </w:r>
      <w:r w:rsidR="001307A1" w:rsidRPr="00CB2583">
        <w:rPr>
          <w:rFonts w:eastAsia="Times New Roman" w:cs="Helvetica"/>
          <w:bCs/>
          <w:color w:val="444444"/>
          <w:kern w:val="36"/>
          <w:lang w:val="en-US" w:eastAsia="en-GB"/>
        </w:rPr>
        <w:t xml:space="preserve"> Spending</w:t>
      </w:r>
      <w:r w:rsidR="00912B16">
        <w:rPr>
          <w:rFonts w:eastAsia="Times New Roman" w:cs="Helvetica"/>
          <w:bCs/>
          <w:color w:val="444444"/>
          <w:kern w:val="36"/>
          <w:lang w:val="en-US" w:eastAsia="en-GB"/>
        </w:rPr>
        <w:t xml:space="preserve"> Plan &amp; Evaluation</w:t>
      </w:r>
      <w:bookmarkStart w:id="0" w:name="_GoBack"/>
      <w:bookmarkEnd w:id="0"/>
      <w:r w:rsidR="007761E2" w:rsidRPr="00CB2583">
        <w:rPr>
          <w:rFonts w:eastAsia="Times New Roman" w:cs="Helvetica"/>
          <w:bCs/>
          <w:color w:val="444444"/>
          <w:kern w:val="36"/>
          <w:lang w:val="en-US" w:eastAsia="en-GB"/>
        </w:rPr>
        <w:t xml:space="preserve"> </w:t>
      </w:r>
      <w:r w:rsidR="007761E2" w:rsidRPr="000C2DF6">
        <w:rPr>
          <w:rFonts w:eastAsia="Times New Roman" w:cs="Helvetica"/>
          <w:bCs/>
          <w:color w:val="444444"/>
          <w:kern w:val="36"/>
          <w:lang w:val="en-US" w:eastAsia="en-GB"/>
        </w:rPr>
        <w:t xml:space="preserve">of </w:t>
      </w:r>
      <w:r w:rsidR="00136CFF">
        <w:rPr>
          <w:rFonts w:eastAsia="Times New Roman"/>
          <w:color w:val="000000"/>
          <w:sz w:val="24"/>
          <w:szCs w:val="24"/>
        </w:rPr>
        <w:t>£23,825</w:t>
      </w:r>
      <w:r w:rsidR="00B93482">
        <w:rPr>
          <w:rFonts w:eastAsia="Times New Roman"/>
          <w:color w:val="000000"/>
          <w:sz w:val="24"/>
          <w:szCs w:val="24"/>
        </w:rPr>
        <w:t xml:space="preserve"> </w:t>
      </w:r>
      <w:r w:rsidR="000C47E8" w:rsidRPr="000C2DF6">
        <w:rPr>
          <w:rFonts w:eastAsia="Times New Roman" w:cs="Helvetica"/>
          <w:bCs/>
          <w:color w:val="444444"/>
          <w:kern w:val="36"/>
          <w:lang w:val="en-US" w:eastAsia="en-GB"/>
        </w:rPr>
        <w:t>Pupil</w:t>
      </w:r>
      <w:r w:rsidR="006164FD">
        <w:rPr>
          <w:rFonts w:eastAsia="Times New Roman" w:cs="Helvetica"/>
          <w:bCs/>
          <w:color w:val="444444"/>
          <w:kern w:val="36"/>
          <w:lang w:val="en-US" w:eastAsia="en-GB"/>
        </w:rPr>
        <w:t xml:space="preserve"> Premium funding</w:t>
      </w:r>
      <w:r w:rsidR="00074D32">
        <w:rPr>
          <w:rFonts w:eastAsia="Times New Roman" w:cs="Helvetica"/>
          <w:bCs/>
          <w:color w:val="444444"/>
          <w:kern w:val="36"/>
          <w:lang w:val="en-US" w:eastAsia="en-GB"/>
        </w:rPr>
        <w:t>*</w:t>
      </w:r>
    </w:p>
    <w:tbl>
      <w:tblPr>
        <w:tblStyle w:val="TableGrid"/>
        <w:tblW w:w="0" w:type="auto"/>
        <w:jc w:val="center"/>
        <w:tblLook w:val="04A0" w:firstRow="1" w:lastRow="0" w:firstColumn="1" w:lastColumn="0" w:noHBand="0" w:noVBand="1"/>
      </w:tblPr>
      <w:tblGrid>
        <w:gridCol w:w="2716"/>
        <w:gridCol w:w="1751"/>
        <w:gridCol w:w="2204"/>
        <w:gridCol w:w="3523"/>
      </w:tblGrid>
      <w:tr w:rsidR="003C6808" w:rsidRPr="00CB2583" w14:paraId="32AF3A64" w14:textId="45580FBE" w:rsidTr="0009368D">
        <w:trPr>
          <w:jc w:val="center"/>
        </w:trPr>
        <w:tc>
          <w:tcPr>
            <w:tcW w:w="2716" w:type="dxa"/>
            <w:shd w:val="pct25" w:color="auto" w:fill="auto"/>
            <w:vAlign w:val="center"/>
          </w:tcPr>
          <w:p w14:paraId="209AD4DF" w14:textId="77777777" w:rsidR="003C6808" w:rsidRPr="00CB2583" w:rsidRDefault="003C6808" w:rsidP="005767F0">
            <w:pPr>
              <w:pStyle w:val="NoSpacing"/>
              <w:jc w:val="center"/>
              <w:rPr>
                <w:rFonts w:cstheme="minorHAnsi"/>
                <w:lang w:val="en-US" w:eastAsia="en-GB"/>
              </w:rPr>
            </w:pPr>
            <w:r w:rsidRPr="00CB2583">
              <w:rPr>
                <w:rFonts w:cstheme="minorHAnsi"/>
                <w:lang w:val="en-US" w:eastAsia="en-GB"/>
              </w:rPr>
              <w:t>Strategy</w:t>
            </w:r>
          </w:p>
        </w:tc>
        <w:tc>
          <w:tcPr>
            <w:tcW w:w="1751" w:type="dxa"/>
            <w:shd w:val="pct25" w:color="auto" w:fill="auto"/>
            <w:vAlign w:val="center"/>
          </w:tcPr>
          <w:p w14:paraId="6EE520E9" w14:textId="77777777" w:rsidR="003C6808" w:rsidRPr="00CB2583" w:rsidRDefault="003C6808" w:rsidP="00C75FC0">
            <w:pPr>
              <w:pStyle w:val="NoSpacing"/>
              <w:jc w:val="center"/>
              <w:rPr>
                <w:rFonts w:cstheme="minorHAnsi"/>
                <w:lang w:val="en-US" w:eastAsia="en-GB"/>
              </w:rPr>
            </w:pPr>
            <w:r w:rsidRPr="00CB2583">
              <w:rPr>
                <w:rFonts w:cstheme="minorHAnsi"/>
                <w:lang w:val="en-US" w:eastAsia="en-GB"/>
              </w:rPr>
              <w:t xml:space="preserve">Predicted </w:t>
            </w:r>
            <w:r>
              <w:rPr>
                <w:rFonts w:cstheme="minorHAnsi"/>
                <w:lang w:val="en-US" w:eastAsia="en-GB"/>
              </w:rPr>
              <w:t>Spending</w:t>
            </w:r>
          </w:p>
        </w:tc>
        <w:tc>
          <w:tcPr>
            <w:tcW w:w="2204" w:type="dxa"/>
            <w:shd w:val="pct25" w:color="auto" w:fill="auto"/>
            <w:vAlign w:val="center"/>
          </w:tcPr>
          <w:p w14:paraId="672C89CC" w14:textId="77777777" w:rsidR="003C6808" w:rsidRPr="00CB2583" w:rsidRDefault="003C6808" w:rsidP="005767F0">
            <w:pPr>
              <w:pStyle w:val="NoSpacing"/>
              <w:jc w:val="center"/>
              <w:rPr>
                <w:rFonts w:cstheme="minorHAnsi"/>
                <w:lang w:val="en-US" w:eastAsia="en-GB"/>
              </w:rPr>
            </w:pPr>
            <w:r>
              <w:rPr>
                <w:rFonts w:cstheme="minorHAnsi"/>
                <w:lang w:val="en-US" w:eastAsia="en-GB"/>
              </w:rPr>
              <w:t>Notes</w:t>
            </w:r>
          </w:p>
        </w:tc>
        <w:tc>
          <w:tcPr>
            <w:tcW w:w="3523" w:type="dxa"/>
            <w:shd w:val="pct25" w:color="auto" w:fill="auto"/>
          </w:tcPr>
          <w:p w14:paraId="5E60BF6B" w14:textId="45BC9360" w:rsidR="003C6808" w:rsidRDefault="003C6808" w:rsidP="005767F0">
            <w:pPr>
              <w:pStyle w:val="NoSpacing"/>
              <w:jc w:val="center"/>
              <w:rPr>
                <w:rFonts w:cstheme="minorHAnsi"/>
                <w:lang w:val="en-US" w:eastAsia="en-GB"/>
              </w:rPr>
            </w:pPr>
            <w:r>
              <w:rPr>
                <w:rFonts w:cstheme="minorHAnsi"/>
                <w:lang w:val="en-US" w:eastAsia="en-GB"/>
              </w:rPr>
              <w:t>Evaluation</w:t>
            </w:r>
          </w:p>
        </w:tc>
      </w:tr>
      <w:tr w:rsidR="003C6808" w:rsidRPr="0083171D" w14:paraId="0282D648" w14:textId="409C4C14" w:rsidTr="003C6808">
        <w:trPr>
          <w:jc w:val="center"/>
        </w:trPr>
        <w:tc>
          <w:tcPr>
            <w:tcW w:w="2737" w:type="dxa"/>
            <w:vAlign w:val="center"/>
          </w:tcPr>
          <w:p w14:paraId="075FDBA8" w14:textId="77777777" w:rsidR="003C6808" w:rsidRPr="0083171D" w:rsidRDefault="003C6808" w:rsidP="00677F02">
            <w:pPr>
              <w:pStyle w:val="NoSpacing"/>
              <w:rPr>
                <w:rFonts w:cstheme="minorHAnsi"/>
                <w:lang w:val="en-US" w:eastAsia="en-GB"/>
              </w:rPr>
            </w:pPr>
            <w:r w:rsidRPr="0083171D">
              <w:rPr>
                <w:rFonts w:cstheme="minorHAnsi"/>
                <w:lang w:val="en-US" w:eastAsia="en-GB"/>
              </w:rPr>
              <w:t>Direct Teaching/Support (academic/social/pastoral):</w:t>
            </w:r>
          </w:p>
          <w:p w14:paraId="037A80E5" w14:textId="77777777" w:rsidR="003C6808" w:rsidRPr="0083171D" w:rsidRDefault="003C6808" w:rsidP="00677F02">
            <w:pPr>
              <w:pStyle w:val="NoSpacing"/>
              <w:rPr>
                <w:rFonts w:cstheme="minorHAnsi"/>
                <w:lang w:val="en-US" w:eastAsia="en-GB"/>
              </w:rPr>
            </w:pPr>
          </w:p>
          <w:p w14:paraId="0DAF81E6" w14:textId="77777777" w:rsidR="003C6808" w:rsidRDefault="003C6808" w:rsidP="00677F02">
            <w:pPr>
              <w:pStyle w:val="NoSpacing"/>
              <w:rPr>
                <w:rFonts w:cstheme="minorHAnsi"/>
                <w:lang w:val="en-US" w:eastAsia="en-GB"/>
              </w:rPr>
            </w:pPr>
            <w:r w:rsidRPr="0083171D">
              <w:rPr>
                <w:rFonts w:cstheme="minorHAnsi"/>
                <w:lang w:val="en-US" w:eastAsia="en-GB"/>
              </w:rPr>
              <w:t>e.g.</w:t>
            </w:r>
          </w:p>
          <w:p w14:paraId="21170A95" w14:textId="77777777" w:rsidR="003C6808" w:rsidRPr="0083171D" w:rsidRDefault="003C6808" w:rsidP="00677F02">
            <w:pPr>
              <w:pStyle w:val="NoSpacing"/>
              <w:rPr>
                <w:rFonts w:cstheme="minorHAnsi"/>
                <w:lang w:val="en-US" w:eastAsia="en-GB"/>
              </w:rPr>
            </w:pPr>
            <w:r>
              <w:rPr>
                <w:rFonts w:cstheme="minorHAnsi"/>
                <w:lang w:val="en-US" w:eastAsia="en-GB"/>
              </w:rPr>
              <w:t>ELSA</w:t>
            </w:r>
          </w:p>
          <w:p w14:paraId="0BFDA82F" w14:textId="77777777" w:rsidR="003C6808" w:rsidRPr="0083171D" w:rsidRDefault="003C6808" w:rsidP="00677F02">
            <w:pPr>
              <w:pStyle w:val="NoSpacing"/>
              <w:rPr>
                <w:rFonts w:cstheme="minorHAnsi"/>
                <w:lang w:val="en-US" w:eastAsia="en-GB"/>
              </w:rPr>
            </w:pPr>
            <w:r w:rsidRPr="0083171D">
              <w:rPr>
                <w:rFonts w:cstheme="minorHAnsi"/>
                <w:lang w:val="en-US" w:eastAsia="en-GB"/>
              </w:rPr>
              <w:t>Group work;</w:t>
            </w:r>
          </w:p>
          <w:p w14:paraId="1D29D371" w14:textId="77777777" w:rsidR="003C6808" w:rsidRPr="0083171D" w:rsidRDefault="003C6808" w:rsidP="00677F02">
            <w:pPr>
              <w:pStyle w:val="NoSpacing"/>
              <w:rPr>
                <w:rFonts w:cstheme="minorHAnsi"/>
                <w:lang w:val="en-US" w:eastAsia="en-GB"/>
              </w:rPr>
            </w:pPr>
            <w:r w:rsidRPr="0083171D">
              <w:rPr>
                <w:rFonts w:cstheme="minorHAnsi"/>
                <w:lang w:val="en-US" w:eastAsia="en-GB"/>
              </w:rPr>
              <w:t>Interventions;</w:t>
            </w:r>
          </w:p>
          <w:p w14:paraId="68A14AA6" w14:textId="51418706" w:rsidR="003C6808" w:rsidRPr="0083171D" w:rsidRDefault="003C6808" w:rsidP="00677F02">
            <w:pPr>
              <w:pStyle w:val="NoSpacing"/>
              <w:rPr>
                <w:rFonts w:cstheme="minorHAnsi"/>
                <w:lang w:val="en-US" w:eastAsia="en-GB"/>
              </w:rPr>
            </w:pPr>
            <w:r>
              <w:rPr>
                <w:rFonts w:cstheme="minorHAnsi"/>
                <w:lang w:val="en-US" w:eastAsia="en-GB"/>
              </w:rPr>
              <w:t>Outdoor learning staffing</w:t>
            </w:r>
            <w:r w:rsidRPr="0083171D">
              <w:rPr>
                <w:rFonts w:cstheme="minorHAnsi"/>
                <w:lang w:val="en-US" w:eastAsia="en-GB"/>
              </w:rPr>
              <w:t>.</w:t>
            </w:r>
          </w:p>
        </w:tc>
        <w:tc>
          <w:tcPr>
            <w:tcW w:w="1953" w:type="dxa"/>
            <w:vAlign w:val="center"/>
          </w:tcPr>
          <w:p w14:paraId="0EB9AFC7" w14:textId="712E9581" w:rsidR="003C6808" w:rsidRPr="0083171D" w:rsidRDefault="003C6808" w:rsidP="00A07199">
            <w:pPr>
              <w:pStyle w:val="NoSpacing"/>
              <w:rPr>
                <w:rFonts w:cstheme="minorHAnsi"/>
                <w:lang w:val="en-US" w:eastAsia="en-GB"/>
              </w:rPr>
            </w:pPr>
            <w:r>
              <w:rPr>
                <w:rFonts w:cstheme="minorHAnsi"/>
                <w:lang w:val="en-US" w:eastAsia="en-GB"/>
              </w:rPr>
              <w:t>£10k contracted and additional staffing support</w:t>
            </w:r>
          </w:p>
        </w:tc>
        <w:tc>
          <w:tcPr>
            <w:tcW w:w="1259" w:type="dxa"/>
            <w:vAlign w:val="center"/>
          </w:tcPr>
          <w:p w14:paraId="37D8EB58" w14:textId="2F3101BA" w:rsidR="003C6808" w:rsidRDefault="003C6808" w:rsidP="00CB2583">
            <w:pPr>
              <w:pStyle w:val="NoSpacing"/>
              <w:rPr>
                <w:rFonts w:cstheme="minorHAnsi"/>
                <w:lang w:val="en-US" w:eastAsia="en-GB"/>
              </w:rPr>
            </w:pPr>
            <w:r w:rsidRPr="0083171D">
              <w:rPr>
                <w:rFonts w:cstheme="minorHAnsi"/>
                <w:lang w:val="en-US" w:eastAsia="en-GB"/>
              </w:rPr>
              <w:t>Targeted, regularly reviewed interventions and individual/group/class work.</w:t>
            </w:r>
          </w:p>
          <w:p w14:paraId="0499273C" w14:textId="6D076611" w:rsidR="003C6808" w:rsidRPr="0083171D" w:rsidRDefault="003C6808" w:rsidP="00074D32">
            <w:pPr>
              <w:pStyle w:val="NoSpacing"/>
              <w:rPr>
                <w:rFonts w:cstheme="minorHAnsi"/>
                <w:lang w:val="en-US" w:eastAsia="en-GB"/>
              </w:rPr>
            </w:pPr>
          </w:p>
        </w:tc>
        <w:tc>
          <w:tcPr>
            <w:tcW w:w="4245" w:type="dxa"/>
          </w:tcPr>
          <w:p w14:paraId="5289BB27" w14:textId="77777777" w:rsidR="003C6808" w:rsidRDefault="003C6808" w:rsidP="00CB2583">
            <w:pPr>
              <w:pStyle w:val="NoSpacing"/>
              <w:rPr>
                <w:rFonts w:cstheme="minorHAnsi"/>
                <w:lang w:val="en-US" w:eastAsia="en-GB"/>
              </w:rPr>
            </w:pPr>
            <w:r>
              <w:rPr>
                <w:rFonts w:cstheme="minorHAnsi"/>
                <w:lang w:val="en-US" w:eastAsia="en-GB"/>
              </w:rPr>
              <w:t>ELSA (TA) at MF base has left the school. The new TA post holder will be required to complete the ELSA training before taking up this work.</w:t>
            </w:r>
          </w:p>
          <w:p w14:paraId="37E70D60" w14:textId="77777777" w:rsidR="003C6808" w:rsidRDefault="003C6808" w:rsidP="00CB2583">
            <w:pPr>
              <w:pStyle w:val="NoSpacing"/>
              <w:rPr>
                <w:rFonts w:cstheme="minorHAnsi"/>
                <w:lang w:val="en-US" w:eastAsia="en-GB"/>
              </w:rPr>
            </w:pPr>
          </w:p>
          <w:p w14:paraId="471F7DCC" w14:textId="26EFF5EB" w:rsidR="003C6808" w:rsidRPr="0083171D" w:rsidRDefault="003C6808" w:rsidP="003C6808">
            <w:pPr>
              <w:pStyle w:val="NoSpacing"/>
              <w:rPr>
                <w:rFonts w:cstheme="minorHAnsi"/>
                <w:lang w:val="en-US" w:eastAsia="en-GB"/>
              </w:rPr>
            </w:pPr>
            <w:r>
              <w:rPr>
                <w:rFonts w:cstheme="minorHAnsi"/>
                <w:lang w:val="en-US" w:eastAsia="en-GB"/>
              </w:rPr>
              <w:t>By the end of term 4, all Pupil Premium</w:t>
            </w:r>
            <w:r w:rsidRPr="003C6808">
              <w:rPr>
                <w:rFonts w:cstheme="minorHAnsi"/>
                <w:lang w:val="en-US" w:eastAsia="en-GB"/>
              </w:rPr>
              <w:t xml:space="preserve"> </w:t>
            </w:r>
            <w:r>
              <w:rPr>
                <w:rFonts w:cstheme="minorHAnsi"/>
                <w:lang w:val="en-US" w:eastAsia="en-GB"/>
              </w:rPr>
              <w:t>age related expectations for RWM was 41; 18; 53%. O</w:t>
            </w:r>
            <w:r w:rsidRPr="003C6808">
              <w:rPr>
                <w:rFonts w:cstheme="minorHAnsi"/>
                <w:lang w:val="en-US" w:eastAsia="en-GB"/>
              </w:rPr>
              <w:t xml:space="preserve">ur current Y2-6 PP attainment is now 29; 21; 50% and was 25; 15; 23% in autumn 2021, showing an increase of 4; 6; 27%. Outstanding progress percentages of current Y2-6 PP since autumn 2021 are 25; 23 and 62% which indicates rapid accelerated progress over this period. Nonetheless, outstanding progress since last autumn has been 0; 8; 15% which indicates progress acceleration is beginning to stall in R and W. It should be </w:t>
            </w:r>
            <w:proofErr w:type="spellStart"/>
            <w:r w:rsidRPr="003C6808">
              <w:rPr>
                <w:rFonts w:cstheme="minorHAnsi"/>
                <w:lang w:val="en-US" w:eastAsia="en-GB"/>
              </w:rPr>
              <w:t>recognised</w:t>
            </w:r>
            <w:proofErr w:type="spellEnd"/>
            <w:r w:rsidRPr="003C6808">
              <w:rPr>
                <w:rFonts w:cstheme="minorHAnsi"/>
                <w:lang w:val="en-US" w:eastAsia="en-GB"/>
              </w:rPr>
              <w:t xml:space="preserve"> however that there are 14 PP children across the whole school, each worth 7%, and the majority that are not reaching ARE </w:t>
            </w:r>
            <w:proofErr w:type="spellStart"/>
            <w:r w:rsidRPr="003C6808">
              <w:rPr>
                <w:rFonts w:cstheme="minorHAnsi"/>
                <w:lang w:val="en-US" w:eastAsia="en-GB"/>
              </w:rPr>
              <w:t>are</w:t>
            </w:r>
            <w:proofErr w:type="spellEnd"/>
            <w:r w:rsidRPr="003C6808">
              <w:rPr>
                <w:rFonts w:cstheme="minorHAnsi"/>
                <w:lang w:val="en-US" w:eastAsia="en-GB"/>
              </w:rPr>
              <w:t xml:space="preserve"> ‘just’ below expectations. The numbers of these children who are more than ‘just’ below in RWM are 4; 6; 4 over the whole school, or an average of one pupil per class, or less. Note that 7 pupils are both PP and SEND, and of those PP children that are not SEND, the numbers who are more than ‘just’ below RWM ARE </w:t>
            </w:r>
            <w:proofErr w:type="spellStart"/>
            <w:r w:rsidRPr="003C6808">
              <w:rPr>
                <w:rFonts w:cstheme="minorHAnsi"/>
                <w:lang w:val="en-US" w:eastAsia="en-GB"/>
              </w:rPr>
              <w:t>are</w:t>
            </w:r>
            <w:proofErr w:type="spellEnd"/>
            <w:r w:rsidRPr="003C6808">
              <w:rPr>
                <w:rFonts w:cstheme="minorHAnsi"/>
                <w:lang w:val="en-US" w:eastAsia="en-GB"/>
              </w:rPr>
              <w:t xml:space="preserve"> 1; 2; 1. One of these pupils (for every subject) had chronic under-attendance which the school addressed with the EWS and is now improving. The pupil is now being assessed for SEND through in-class processes.</w:t>
            </w:r>
          </w:p>
        </w:tc>
      </w:tr>
      <w:tr w:rsidR="003C6808" w:rsidRPr="0083171D" w14:paraId="25A4F180" w14:textId="1E29CF7B" w:rsidTr="003C6808">
        <w:trPr>
          <w:jc w:val="center"/>
        </w:trPr>
        <w:tc>
          <w:tcPr>
            <w:tcW w:w="2737" w:type="dxa"/>
            <w:vAlign w:val="center"/>
          </w:tcPr>
          <w:p w14:paraId="0E6559DC" w14:textId="77777777" w:rsidR="003C6808" w:rsidRDefault="003C6808" w:rsidP="00677F02">
            <w:pPr>
              <w:pStyle w:val="NoSpacing"/>
              <w:rPr>
                <w:rFonts w:cstheme="minorHAnsi"/>
                <w:lang w:val="en-US" w:eastAsia="en-GB"/>
              </w:rPr>
            </w:pPr>
            <w:r>
              <w:rPr>
                <w:rFonts w:cstheme="minorHAnsi"/>
                <w:lang w:val="en-US" w:eastAsia="en-GB"/>
              </w:rPr>
              <w:t>Vulnerable pupil leadership</w:t>
            </w:r>
          </w:p>
          <w:p w14:paraId="4BC9FECB" w14:textId="77777777" w:rsidR="003C6808" w:rsidRDefault="003C6808" w:rsidP="00677F02">
            <w:pPr>
              <w:pStyle w:val="NoSpacing"/>
              <w:rPr>
                <w:rFonts w:cstheme="minorHAnsi"/>
                <w:lang w:val="en-US" w:eastAsia="en-GB"/>
              </w:rPr>
            </w:pPr>
          </w:p>
          <w:p w14:paraId="0CA2972B" w14:textId="77777777" w:rsidR="003C6808" w:rsidRDefault="003C6808" w:rsidP="00677F02">
            <w:pPr>
              <w:pStyle w:val="NoSpacing"/>
              <w:rPr>
                <w:rFonts w:cstheme="minorHAnsi"/>
                <w:lang w:val="en-US" w:eastAsia="en-GB"/>
              </w:rPr>
            </w:pPr>
            <w:r>
              <w:rPr>
                <w:rFonts w:cstheme="minorHAnsi"/>
                <w:lang w:val="en-US" w:eastAsia="en-GB"/>
              </w:rPr>
              <w:t>e.g.</w:t>
            </w:r>
          </w:p>
          <w:p w14:paraId="278FA619" w14:textId="77777777" w:rsidR="003C6808" w:rsidRDefault="003C6808" w:rsidP="00677F02">
            <w:pPr>
              <w:pStyle w:val="NoSpacing"/>
              <w:rPr>
                <w:rFonts w:cstheme="minorHAnsi"/>
                <w:lang w:val="en-US" w:eastAsia="en-GB"/>
              </w:rPr>
            </w:pPr>
            <w:r>
              <w:rPr>
                <w:rFonts w:cstheme="minorHAnsi"/>
                <w:lang w:val="en-US" w:eastAsia="en-GB"/>
              </w:rPr>
              <w:t>PP lead and PP support time</w:t>
            </w:r>
          </w:p>
          <w:p w14:paraId="0E91DFF9" w14:textId="1A8EF4B3" w:rsidR="003C6808" w:rsidRPr="0083171D" w:rsidRDefault="003C6808" w:rsidP="00677F02">
            <w:pPr>
              <w:pStyle w:val="NoSpacing"/>
              <w:rPr>
                <w:rFonts w:cstheme="minorHAnsi"/>
                <w:lang w:val="en-US" w:eastAsia="en-GB"/>
              </w:rPr>
            </w:pPr>
            <w:proofErr w:type="spellStart"/>
            <w:r>
              <w:rPr>
                <w:rFonts w:cstheme="minorHAnsi"/>
                <w:lang w:val="en-US" w:eastAsia="en-GB"/>
              </w:rPr>
              <w:t>SENCo</w:t>
            </w:r>
            <w:proofErr w:type="spellEnd"/>
            <w:r>
              <w:rPr>
                <w:rFonts w:cstheme="minorHAnsi"/>
                <w:lang w:val="en-US" w:eastAsia="en-GB"/>
              </w:rPr>
              <w:t xml:space="preserve"> PP focused-work</w:t>
            </w:r>
          </w:p>
        </w:tc>
        <w:tc>
          <w:tcPr>
            <w:tcW w:w="1953" w:type="dxa"/>
            <w:vAlign w:val="center"/>
          </w:tcPr>
          <w:p w14:paraId="0D4A0F2E" w14:textId="143B7A93" w:rsidR="003C6808" w:rsidRDefault="003C6808" w:rsidP="00677F02">
            <w:pPr>
              <w:pStyle w:val="NoSpacing"/>
              <w:rPr>
                <w:rFonts w:cstheme="minorHAnsi"/>
                <w:lang w:val="en-US" w:eastAsia="en-GB"/>
              </w:rPr>
            </w:pPr>
            <w:r>
              <w:rPr>
                <w:rFonts w:cstheme="minorHAnsi"/>
                <w:lang w:val="en-US" w:eastAsia="en-GB"/>
              </w:rPr>
              <w:t>£4k</w:t>
            </w:r>
          </w:p>
        </w:tc>
        <w:tc>
          <w:tcPr>
            <w:tcW w:w="1259" w:type="dxa"/>
            <w:vAlign w:val="center"/>
          </w:tcPr>
          <w:p w14:paraId="6D350245" w14:textId="6C6F2BBD" w:rsidR="003C6808" w:rsidRPr="0083171D" w:rsidRDefault="003C6808" w:rsidP="00CB2583">
            <w:pPr>
              <w:pStyle w:val="NoSpacing"/>
              <w:rPr>
                <w:rFonts w:cstheme="minorHAnsi"/>
                <w:lang w:val="en-US" w:eastAsia="en-GB"/>
              </w:rPr>
            </w:pPr>
            <w:r>
              <w:rPr>
                <w:rFonts w:cstheme="minorHAnsi"/>
                <w:lang w:val="en-US" w:eastAsia="en-GB"/>
              </w:rPr>
              <w:t>Budget may be needed to support leadership of this area (e.g. SENDCO and Mark For Impact leader).</w:t>
            </w:r>
          </w:p>
        </w:tc>
        <w:tc>
          <w:tcPr>
            <w:tcW w:w="4245" w:type="dxa"/>
          </w:tcPr>
          <w:p w14:paraId="45096964" w14:textId="61C1F4F0" w:rsidR="003C6808" w:rsidRDefault="003C6808" w:rsidP="00CB2583">
            <w:pPr>
              <w:pStyle w:val="NoSpacing"/>
              <w:rPr>
                <w:rFonts w:cstheme="minorHAnsi"/>
                <w:lang w:val="en-US" w:eastAsia="en-GB"/>
              </w:rPr>
            </w:pPr>
            <w:r>
              <w:rPr>
                <w:rFonts w:cstheme="minorHAnsi"/>
                <w:lang w:val="en-US" w:eastAsia="en-GB"/>
              </w:rPr>
              <w:t xml:space="preserve">The focus of this funding has been on providing additional </w:t>
            </w:r>
            <w:proofErr w:type="spellStart"/>
            <w:r>
              <w:rPr>
                <w:rFonts w:cstheme="minorHAnsi"/>
                <w:lang w:val="en-US" w:eastAsia="en-GB"/>
              </w:rPr>
              <w:t>SENCo</w:t>
            </w:r>
            <w:proofErr w:type="spellEnd"/>
            <w:r>
              <w:rPr>
                <w:rFonts w:cstheme="minorHAnsi"/>
                <w:lang w:val="en-US" w:eastAsia="en-GB"/>
              </w:rPr>
              <w:t xml:space="preserve"> time which has been necessary to support EHCP processes for several PP children. One EHCP has been obtained and one is in process. The outcome of this has provided additional LA funding for this pupil to support their needs within school and plan effectively for transition.</w:t>
            </w:r>
          </w:p>
        </w:tc>
      </w:tr>
      <w:tr w:rsidR="003C6808" w:rsidRPr="0083171D" w14:paraId="16B27E32" w14:textId="151CF4A7" w:rsidTr="003C6808">
        <w:trPr>
          <w:jc w:val="center"/>
        </w:trPr>
        <w:tc>
          <w:tcPr>
            <w:tcW w:w="2737" w:type="dxa"/>
            <w:vAlign w:val="center"/>
          </w:tcPr>
          <w:p w14:paraId="70634572" w14:textId="77777777" w:rsidR="003C6808" w:rsidRPr="0083171D" w:rsidRDefault="003C6808" w:rsidP="006873D8">
            <w:pPr>
              <w:pStyle w:val="NoSpacing"/>
              <w:rPr>
                <w:rFonts w:cstheme="minorHAnsi"/>
                <w:lang w:val="en-US" w:eastAsia="en-GB"/>
              </w:rPr>
            </w:pPr>
            <w:r w:rsidRPr="0083171D">
              <w:rPr>
                <w:rFonts w:cstheme="minorHAnsi"/>
                <w:lang w:val="en-US" w:eastAsia="en-GB"/>
              </w:rPr>
              <w:t>Resources &amp; Consumables:</w:t>
            </w:r>
          </w:p>
          <w:p w14:paraId="2B6C1696" w14:textId="77777777" w:rsidR="003C6808" w:rsidRPr="0083171D" w:rsidRDefault="003C6808" w:rsidP="006873D8">
            <w:pPr>
              <w:pStyle w:val="NoSpacing"/>
              <w:rPr>
                <w:rFonts w:cstheme="minorHAnsi"/>
                <w:lang w:val="en-US" w:eastAsia="en-GB"/>
              </w:rPr>
            </w:pPr>
          </w:p>
          <w:p w14:paraId="6CAB3FBF" w14:textId="77777777" w:rsidR="003C6808" w:rsidRPr="0083171D" w:rsidRDefault="003C6808" w:rsidP="006873D8">
            <w:pPr>
              <w:pStyle w:val="NoSpacing"/>
              <w:rPr>
                <w:rFonts w:cstheme="minorHAnsi"/>
                <w:lang w:val="en-US" w:eastAsia="en-GB"/>
              </w:rPr>
            </w:pPr>
            <w:r w:rsidRPr="0083171D">
              <w:rPr>
                <w:rFonts w:cstheme="minorHAnsi"/>
                <w:lang w:val="en-US" w:eastAsia="en-GB"/>
              </w:rPr>
              <w:t>e.g.</w:t>
            </w:r>
          </w:p>
          <w:p w14:paraId="00B978A1" w14:textId="04CE64B2" w:rsidR="003C6808" w:rsidRPr="0083171D" w:rsidRDefault="003C6808" w:rsidP="006873D8">
            <w:pPr>
              <w:pStyle w:val="NoSpacing"/>
              <w:rPr>
                <w:rFonts w:cstheme="minorHAnsi"/>
                <w:lang w:val="en-US" w:eastAsia="en-GB"/>
              </w:rPr>
            </w:pPr>
            <w:r>
              <w:rPr>
                <w:rFonts w:cstheme="minorHAnsi"/>
                <w:lang w:val="en-US" w:eastAsia="en-GB"/>
              </w:rPr>
              <w:t>Outdoor learning</w:t>
            </w:r>
            <w:r w:rsidRPr="0083171D">
              <w:rPr>
                <w:rFonts w:cstheme="minorHAnsi"/>
                <w:lang w:val="en-US" w:eastAsia="en-GB"/>
              </w:rPr>
              <w:t xml:space="preserve"> expenses;</w:t>
            </w:r>
          </w:p>
          <w:p w14:paraId="66555DE0" w14:textId="77777777" w:rsidR="003C6808" w:rsidRPr="0083171D" w:rsidRDefault="003C6808" w:rsidP="006873D8">
            <w:pPr>
              <w:pStyle w:val="NoSpacing"/>
              <w:rPr>
                <w:rFonts w:cstheme="minorHAnsi"/>
                <w:lang w:val="en-US" w:eastAsia="en-GB"/>
              </w:rPr>
            </w:pPr>
            <w:r w:rsidRPr="0083171D">
              <w:rPr>
                <w:rFonts w:cstheme="minorHAnsi"/>
                <w:lang w:val="en-US" w:eastAsia="en-GB"/>
              </w:rPr>
              <w:lastRenderedPageBreak/>
              <w:t>Classroom/school resources;</w:t>
            </w:r>
          </w:p>
          <w:p w14:paraId="73FF4CB7" w14:textId="77777777" w:rsidR="003C6808" w:rsidRPr="0083171D" w:rsidRDefault="003C6808" w:rsidP="006873D8">
            <w:pPr>
              <w:pStyle w:val="NoSpacing"/>
              <w:rPr>
                <w:rFonts w:cstheme="minorHAnsi"/>
                <w:lang w:val="en-US" w:eastAsia="en-GB"/>
              </w:rPr>
            </w:pPr>
            <w:r w:rsidRPr="0083171D">
              <w:rPr>
                <w:rFonts w:cstheme="minorHAnsi"/>
                <w:lang w:val="en-US" w:eastAsia="en-GB"/>
              </w:rPr>
              <w:t>Club resources;</w:t>
            </w:r>
          </w:p>
          <w:p w14:paraId="242EF4D4" w14:textId="77777777" w:rsidR="003C6808" w:rsidRPr="0083171D" w:rsidRDefault="003C6808" w:rsidP="006873D8">
            <w:pPr>
              <w:pStyle w:val="NoSpacing"/>
              <w:rPr>
                <w:rFonts w:cstheme="minorHAnsi"/>
                <w:lang w:val="en-US" w:eastAsia="en-GB"/>
              </w:rPr>
            </w:pPr>
            <w:r w:rsidRPr="0083171D">
              <w:rPr>
                <w:rFonts w:cstheme="minorHAnsi"/>
                <w:lang w:val="en-US" w:eastAsia="en-GB"/>
              </w:rPr>
              <w:t>Books/e-books;</w:t>
            </w:r>
          </w:p>
          <w:p w14:paraId="387335AB" w14:textId="77777777" w:rsidR="003C6808" w:rsidRPr="0083171D" w:rsidRDefault="003C6808" w:rsidP="006873D8">
            <w:pPr>
              <w:pStyle w:val="NoSpacing"/>
              <w:rPr>
                <w:rFonts w:cstheme="minorHAnsi"/>
                <w:lang w:val="en-US" w:eastAsia="en-GB"/>
              </w:rPr>
            </w:pPr>
            <w:r w:rsidRPr="0083171D">
              <w:rPr>
                <w:rFonts w:cstheme="minorHAnsi"/>
                <w:lang w:val="en-US" w:eastAsia="en-GB"/>
              </w:rPr>
              <w:t>Food/drink.</w:t>
            </w:r>
          </w:p>
        </w:tc>
        <w:tc>
          <w:tcPr>
            <w:tcW w:w="1953" w:type="dxa"/>
            <w:vAlign w:val="center"/>
          </w:tcPr>
          <w:p w14:paraId="36DEB3FE" w14:textId="37F05862" w:rsidR="003C6808" w:rsidRPr="0083171D" w:rsidRDefault="003C6808" w:rsidP="006873D8">
            <w:pPr>
              <w:pStyle w:val="NoSpacing"/>
              <w:rPr>
                <w:rFonts w:cstheme="minorHAnsi"/>
                <w:lang w:val="en-US" w:eastAsia="en-GB"/>
              </w:rPr>
            </w:pPr>
            <w:r w:rsidRPr="0083171D">
              <w:rPr>
                <w:rFonts w:cstheme="minorHAnsi"/>
                <w:lang w:val="en-US" w:eastAsia="en-GB"/>
              </w:rPr>
              <w:lastRenderedPageBreak/>
              <w:t>£</w:t>
            </w:r>
            <w:r>
              <w:rPr>
                <w:rFonts w:cstheme="minorHAnsi"/>
                <w:lang w:val="en-US" w:eastAsia="en-GB"/>
              </w:rPr>
              <w:t>4k</w:t>
            </w:r>
          </w:p>
        </w:tc>
        <w:tc>
          <w:tcPr>
            <w:tcW w:w="1259" w:type="dxa"/>
            <w:vAlign w:val="center"/>
          </w:tcPr>
          <w:p w14:paraId="18ABED12" w14:textId="41BC72BF" w:rsidR="003C6808" w:rsidRPr="0083171D" w:rsidRDefault="003C6808" w:rsidP="00A07199">
            <w:pPr>
              <w:pStyle w:val="NoSpacing"/>
              <w:rPr>
                <w:rFonts w:cstheme="minorHAnsi"/>
                <w:lang w:val="en-US" w:eastAsia="en-GB"/>
              </w:rPr>
            </w:pPr>
            <w:r>
              <w:rPr>
                <w:rFonts w:cstheme="minorHAnsi"/>
                <w:lang w:val="en-US" w:eastAsia="en-GB"/>
              </w:rPr>
              <w:t xml:space="preserve">Additional resources this year will be spent on ‘Forest Rangers’ specifically for PP </w:t>
            </w:r>
            <w:r>
              <w:rPr>
                <w:rFonts w:cstheme="minorHAnsi"/>
                <w:lang w:val="en-US" w:eastAsia="en-GB"/>
              </w:rPr>
              <w:lastRenderedPageBreak/>
              <w:t>children. This was attempted last year but prevented by Covid-related issues. This will run in conjunction to the normal FS provision which the PP children also enjoy.</w:t>
            </w:r>
          </w:p>
        </w:tc>
        <w:tc>
          <w:tcPr>
            <w:tcW w:w="4245" w:type="dxa"/>
          </w:tcPr>
          <w:p w14:paraId="12E25D8C" w14:textId="234B7B25" w:rsidR="00E07C20" w:rsidRDefault="00E07C20" w:rsidP="00E07C20">
            <w:pPr>
              <w:pStyle w:val="NoSpacing"/>
              <w:rPr>
                <w:rFonts w:cstheme="minorHAnsi"/>
                <w:lang w:val="en-US" w:eastAsia="en-GB"/>
              </w:rPr>
            </w:pPr>
            <w:r>
              <w:rPr>
                <w:rFonts w:cstheme="minorHAnsi"/>
                <w:lang w:val="en-US" w:eastAsia="en-GB"/>
              </w:rPr>
              <w:lastRenderedPageBreak/>
              <w:t xml:space="preserve">Curriculum enrichment afternoons and staff time pressures have negated the need or possibility of running Forest Ranger sessions. </w:t>
            </w:r>
            <w:r>
              <w:rPr>
                <w:rFonts w:cstheme="minorHAnsi"/>
                <w:lang w:val="en-US" w:eastAsia="en-GB"/>
              </w:rPr>
              <w:lastRenderedPageBreak/>
              <w:t xml:space="preserve">Enrichment afternoon resources across both bases have been purchased with this funding and supported the cost of staff CPD in this area. These sessions have been of huge benefit to our vulnerable pupils who have shown further engagement with their learning, and </w:t>
            </w:r>
            <w:r w:rsidR="004D7D5E">
              <w:rPr>
                <w:rFonts w:cstheme="minorHAnsi"/>
                <w:lang w:val="en-US" w:eastAsia="en-GB"/>
              </w:rPr>
              <w:t>improvements</w:t>
            </w:r>
            <w:r>
              <w:rPr>
                <w:rFonts w:cstheme="minorHAnsi"/>
                <w:lang w:val="en-US" w:eastAsia="en-GB"/>
              </w:rPr>
              <w:t xml:space="preserve"> in their </w:t>
            </w:r>
            <w:r w:rsidR="004D7D5E">
              <w:rPr>
                <w:rFonts w:cstheme="minorHAnsi"/>
                <w:lang w:val="en-US" w:eastAsia="en-GB"/>
              </w:rPr>
              <w:t>social, emotional and academic learning.</w:t>
            </w:r>
          </w:p>
        </w:tc>
      </w:tr>
      <w:tr w:rsidR="0009368D" w:rsidRPr="0083171D" w14:paraId="126D3F59" w14:textId="112B8427" w:rsidTr="003C6808">
        <w:trPr>
          <w:jc w:val="center"/>
        </w:trPr>
        <w:tc>
          <w:tcPr>
            <w:tcW w:w="2737" w:type="dxa"/>
            <w:vAlign w:val="center"/>
          </w:tcPr>
          <w:p w14:paraId="589FEF8C" w14:textId="77777777" w:rsidR="0009368D" w:rsidRPr="0083171D" w:rsidRDefault="0009368D" w:rsidP="00F112D2">
            <w:pPr>
              <w:pStyle w:val="NoSpacing"/>
              <w:rPr>
                <w:rFonts w:cstheme="minorHAnsi"/>
                <w:lang w:val="en-US" w:eastAsia="en-GB"/>
              </w:rPr>
            </w:pPr>
            <w:r w:rsidRPr="0083171D">
              <w:rPr>
                <w:rFonts w:cstheme="minorHAnsi"/>
                <w:lang w:val="en-US" w:eastAsia="en-GB"/>
              </w:rPr>
              <w:t>Curriculum/Professional:</w:t>
            </w:r>
          </w:p>
          <w:p w14:paraId="0AB5AE39" w14:textId="77777777" w:rsidR="0009368D" w:rsidRPr="0083171D" w:rsidRDefault="0009368D" w:rsidP="00F112D2">
            <w:pPr>
              <w:pStyle w:val="NoSpacing"/>
              <w:rPr>
                <w:rFonts w:cstheme="minorHAnsi"/>
                <w:lang w:val="en-US" w:eastAsia="en-GB"/>
              </w:rPr>
            </w:pPr>
          </w:p>
          <w:p w14:paraId="76E96472" w14:textId="77777777" w:rsidR="0009368D" w:rsidRPr="0083171D" w:rsidRDefault="0009368D" w:rsidP="00F112D2">
            <w:pPr>
              <w:pStyle w:val="NoSpacing"/>
              <w:rPr>
                <w:rFonts w:cstheme="minorHAnsi"/>
                <w:lang w:val="en-US" w:eastAsia="en-GB"/>
              </w:rPr>
            </w:pPr>
            <w:r w:rsidRPr="0083171D">
              <w:rPr>
                <w:rFonts w:cstheme="minorHAnsi"/>
                <w:lang w:val="en-US" w:eastAsia="en-GB"/>
              </w:rPr>
              <w:t>e.g.</w:t>
            </w:r>
          </w:p>
          <w:p w14:paraId="72BF5BE7" w14:textId="77777777" w:rsidR="0009368D" w:rsidRPr="0083171D" w:rsidRDefault="0009368D" w:rsidP="00F112D2">
            <w:pPr>
              <w:pStyle w:val="NoSpacing"/>
              <w:rPr>
                <w:rFonts w:cstheme="minorHAnsi"/>
                <w:lang w:val="en-US" w:eastAsia="en-GB"/>
              </w:rPr>
            </w:pPr>
            <w:r w:rsidRPr="0083171D">
              <w:rPr>
                <w:rFonts w:cstheme="minorHAnsi"/>
                <w:lang w:val="en-US" w:eastAsia="en-GB"/>
              </w:rPr>
              <w:t>Clubs;</w:t>
            </w:r>
          </w:p>
          <w:p w14:paraId="32359BBD" w14:textId="77777777" w:rsidR="0009368D" w:rsidRPr="0083171D" w:rsidRDefault="0009368D" w:rsidP="00F112D2">
            <w:pPr>
              <w:pStyle w:val="NoSpacing"/>
              <w:rPr>
                <w:rFonts w:cstheme="minorHAnsi"/>
                <w:lang w:val="en-US" w:eastAsia="en-GB"/>
              </w:rPr>
            </w:pPr>
            <w:r w:rsidRPr="0083171D">
              <w:rPr>
                <w:rFonts w:cstheme="minorHAnsi"/>
                <w:lang w:val="en-US" w:eastAsia="en-GB"/>
              </w:rPr>
              <w:t>Holiday activities;</w:t>
            </w:r>
          </w:p>
          <w:p w14:paraId="4DA46E03" w14:textId="77777777" w:rsidR="0009368D" w:rsidRPr="0083171D" w:rsidRDefault="0009368D" w:rsidP="00F112D2">
            <w:pPr>
              <w:pStyle w:val="NoSpacing"/>
              <w:rPr>
                <w:rFonts w:cstheme="minorHAnsi"/>
                <w:lang w:val="en-US" w:eastAsia="en-GB"/>
              </w:rPr>
            </w:pPr>
            <w:r w:rsidRPr="0083171D">
              <w:rPr>
                <w:rFonts w:cstheme="minorHAnsi"/>
                <w:lang w:val="en-US" w:eastAsia="en-GB"/>
              </w:rPr>
              <w:t>Sports activities;</w:t>
            </w:r>
          </w:p>
          <w:p w14:paraId="381D4674" w14:textId="77777777" w:rsidR="0009368D" w:rsidRPr="0083171D" w:rsidRDefault="0009368D" w:rsidP="00F112D2">
            <w:pPr>
              <w:pStyle w:val="NoSpacing"/>
              <w:rPr>
                <w:rFonts w:cstheme="minorHAnsi"/>
                <w:lang w:val="en-US" w:eastAsia="en-GB"/>
              </w:rPr>
            </w:pPr>
            <w:r w:rsidRPr="0083171D">
              <w:rPr>
                <w:rFonts w:cstheme="minorHAnsi"/>
                <w:lang w:val="en-US" w:eastAsia="en-GB"/>
              </w:rPr>
              <w:t>Music tuition;</w:t>
            </w:r>
          </w:p>
          <w:p w14:paraId="5624900E" w14:textId="77777777" w:rsidR="0009368D" w:rsidRPr="0083171D" w:rsidRDefault="0009368D" w:rsidP="00F112D2">
            <w:pPr>
              <w:pStyle w:val="NoSpacing"/>
              <w:rPr>
                <w:rFonts w:cstheme="minorHAnsi"/>
                <w:lang w:val="en-US" w:eastAsia="en-GB"/>
              </w:rPr>
            </w:pPr>
            <w:r w:rsidRPr="0083171D">
              <w:rPr>
                <w:rFonts w:cstheme="minorHAnsi"/>
                <w:lang w:val="en-US" w:eastAsia="en-GB"/>
              </w:rPr>
              <w:t>One to one consultant fees.</w:t>
            </w:r>
          </w:p>
        </w:tc>
        <w:tc>
          <w:tcPr>
            <w:tcW w:w="1953" w:type="dxa"/>
            <w:vAlign w:val="center"/>
          </w:tcPr>
          <w:p w14:paraId="53B7409A" w14:textId="394470D8" w:rsidR="0009368D" w:rsidRPr="0083171D" w:rsidRDefault="0009368D" w:rsidP="00F112D2">
            <w:pPr>
              <w:pStyle w:val="NoSpacing"/>
              <w:rPr>
                <w:rFonts w:cstheme="minorHAnsi"/>
                <w:lang w:val="en-US" w:eastAsia="en-GB"/>
              </w:rPr>
            </w:pPr>
            <w:r>
              <w:rPr>
                <w:rFonts w:cstheme="minorHAnsi"/>
                <w:lang w:val="en-US" w:eastAsia="en-GB"/>
              </w:rPr>
              <w:t>£1.5</w:t>
            </w:r>
            <w:r w:rsidRPr="0083171D">
              <w:rPr>
                <w:rFonts w:cstheme="minorHAnsi"/>
                <w:lang w:val="en-US" w:eastAsia="en-GB"/>
              </w:rPr>
              <w:t>k</w:t>
            </w:r>
          </w:p>
        </w:tc>
        <w:tc>
          <w:tcPr>
            <w:tcW w:w="1259" w:type="dxa"/>
            <w:vAlign w:val="center"/>
          </w:tcPr>
          <w:p w14:paraId="383633C8" w14:textId="77777777" w:rsidR="0009368D" w:rsidRPr="0083171D" w:rsidRDefault="0009368D" w:rsidP="00D02BC3">
            <w:pPr>
              <w:pStyle w:val="NoSpacing"/>
              <w:rPr>
                <w:rFonts w:cstheme="minorHAnsi"/>
                <w:lang w:val="en-US" w:eastAsia="en-GB"/>
              </w:rPr>
            </w:pPr>
            <w:r w:rsidRPr="0083171D">
              <w:rPr>
                <w:rFonts w:cstheme="minorHAnsi"/>
                <w:lang w:val="en-US" w:eastAsia="en-GB"/>
              </w:rPr>
              <w:t>To support parents to ensure children have a broad range of experiences outside of school, related to their individual talents and interests.</w:t>
            </w:r>
          </w:p>
        </w:tc>
        <w:tc>
          <w:tcPr>
            <w:tcW w:w="4245" w:type="dxa"/>
            <w:vMerge w:val="restart"/>
          </w:tcPr>
          <w:p w14:paraId="4D7979CC" w14:textId="6E1621CE" w:rsidR="0009368D" w:rsidRPr="0083171D" w:rsidRDefault="0009368D" w:rsidP="00D02BC3">
            <w:pPr>
              <w:pStyle w:val="NoSpacing"/>
              <w:rPr>
                <w:rFonts w:cstheme="minorHAnsi"/>
                <w:lang w:val="en-US" w:eastAsia="en-GB"/>
              </w:rPr>
            </w:pPr>
            <w:r>
              <w:rPr>
                <w:rFonts w:cstheme="minorHAnsi"/>
                <w:lang w:val="en-US" w:eastAsia="en-GB"/>
              </w:rPr>
              <w:t xml:space="preserve">Funding has been used to secure clubs, visits/visitors and residential visit financial support for our vulnerable pupils on request. This has allowed these pupils to engage in activities and </w:t>
            </w:r>
            <w:proofErr w:type="spellStart"/>
            <w:r>
              <w:rPr>
                <w:rFonts w:cstheme="minorHAnsi"/>
                <w:lang w:val="en-US" w:eastAsia="en-GB"/>
              </w:rPr>
              <w:t>socialise</w:t>
            </w:r>
            <w:proofErr w:type="spellEnd"/>
            <w:r>
              <w:rPr>
                <w:rFonts w:cstheme="minorHAnsi"/>
                <w:lang w:val="en-US" w:eastAsia="en-GB"/>
              </w:rPr>
              <w:t xml:space="preserve"> with others which would not have been otherwise possible. Pupils report further enjoyment, and teachers report further engagement of these pupils in school life and peer to peer relationships.</w:t>
            </w:r>
          </w:p>
        </w:tc>
      </w:tr>
      <w:tr w:rsidR="0009368D" w:rsidRPr="0083171D" w14:paraId="45B49115" w14:textId="484278B3" w:rsidTr="0009368D">
        <w:trPr>
          <w:jc w:val="center"/>
        </w:trPr>
        <w:tc>
          <w:tcPr>
            <w:tcW w:w="2716" w:type="dxa"/>
            <w:vAlign w:val="center"/>
          </w:tcPr>
          <w:p w14:paraId="0423FBF2" w14:textId="77777777" w:rsidR="0009368D" w:rsidRPr="0083171D" w:rsidRDefault="0009368D" w:rsidP="00F112D2">
            <w:pPr>
              <w:pStyle w:val="NoSpacing"/>
              <w:rPr>
                <w:rFonts w:cstheme="minorHAnsi"/>
                <w:lang w:val="en-US" w:eastAsia="en-GB"/>
              </w:rPr>
            </w:pPr>
            <w:r w:rsidRPr="0083171D">
              <w:rPr>
                <w:rFonts w:cstheme="minorHAnsi"/>
                <w:lang w:val="en-US" w:eastAsia="en-GB"/>
              </w:rPr>
              <w:t>First Hand Experiences</w:t>
            </w:r>
          </w:p>
          <w:p w14:paraId="738538BF" w14:textId="77777777" w:rsidR="0009368D" w:rsidRPr="0083171D" w:rsidRDefault="0009368D" w:rsidP="00F112D2">
            <w:pPr>
              <w:pStyle w:val="NoSpacing"/>
              <w:rPr>
                <w:rFonts w:cstheme="minorHAnsi"/>
                <w:lang w:val="en-US" w:eastAsia="en-GB"/>
              </w:rPr>
            </w:pPr>
          </w:p>
          <w:p w14:paraId="58DEDC50" w14:textId="77777777" w:rsidR="0009368D" w:rsidRPr="0083171D" w:rsidRDefault="0009368D" w:rsidP="00F112D2">
            <w:pPr>
              <w:pStyle w:val="NoSpacing"/>
              <w:rPr>
                <w:rFonts w:cstheme="minorHAnsi"/>
                <w:lang w:val="en-US" w:eastAsia="en-GB"/>
              </w:rPr>
            </w:pPr>
            <w:r w:rsidRPr="0083171D">
              <w:rPr>
                <w:rFonts w:cstheme="minorHAnsi"/>
                <w:lang w:val="en-US" w:eastAsia="en-GB"/>
              </w:rPr>
              <w:t>e.g.</w:t>
            </w:r>
          </w:p>
          <w:p w14:paraId="78B6DCAC" w14:textId="77777777" w:rsidR="0009368D" w:rsidRPr="0083171D" w:rsidRDefault="0009368D" w:rsidP="00F112D2">
            <w:pPr>
              <w:pStyle w:val="NoSpacing"/>
              <w:rPr>
                <w:rFonts w:cstheme="minorHAnsi"/>
                <w:lang w:val="en-US" w:eastAsia="en-GB"/>
              </w:rPr>
            </w:pPr>
            <w:r w:rsidRPr="0083171D">
              <w:rPr>
                <w:rFonts w:cstheme="minorHAnsi"/>
                <w:lang w:val="en-US" w:eastAsia="en-GB"/>
              </w:rPr>
              <w:t>Trips &amp; Visits;</w:t>
            </w:r>
          </w:p>
          <w:p w14:paraId="1A3CBD1B" w14:textId="77777777" w:rsidR="0009368D" w:rsidRPr="0083171D" w:rsidRDefault="0009368D" w:rsidP="00F112D2">
            <w:pPr>
              <w:pStyle w:val="NoSpacing"/>
              <w:rPr>
                <w:rFonts w:cstheme="minorHAnsi"/>
                <w:lang w:val="en-US" w:eastAsia="en-GB"/>
              </w:rPr>
            </w:pPr>
            <w:r w:rsidRPr="0083171D">
              <w:rPr>
                <w:rFonts w:cstheme="minorHAnsi"/>
                <w:lang w:val="en-US" w:eastAsia="en-GB"/>
              </w:rPr>
              <w:t>Visitors;</w:t>
            </w:r>
          </w:p>
          <w:p w14:paraId="272F69C9" w14:textId="77777777" w:rsidR="0009368D" w:rsidRPr="0083171D" w:rsidRDefault="0009368D" w:rsidP="00F112D2">
            <w:pPr>
              <w:pStyle w:val="NoSpacing"/>
              <w:rPr>
                <w:rFonts w:cstheme="minorHAnsi"/>
                <w:lang w:val="en-US" w:eastAsia="en-GB"/>
              </w:rPr>
            </w:pPr>
            <w:r w:rsidRPr="0083171D">
              <w:rPr>
                <w:rFonts w:cstheme="minorHAnsi"/>
                <w:lang w:val="en-US" w:eastAsia="en-GB"/>
              </w:rPr>
              <w:t>Transport.</w:t>
            </w:r>
          </w:p>
        </w:tc>
        <w:tc>
          <w:tcPr>
            <w:tcW w:w="1751" w:type="dxa"/>
            <w:vAlign w:val="center"/>
          </w:tcPr>
          <w:p w14:paraId="60FA079A" w14:textId="5C09C2F3" w:rsidR="0009368D" w:rsidRPr="0083171D" w:rsidRDefault="0009368D" w:rsidP="00F112D2">
            <w:pPr>
              <w:pStyle w:val="NoSpacing"/>
              <w:rPr>
                <w:rFonts w:cstheme="minorHAnsi"/>
                <w:lang w:val="en-US" w:eastAsia="en-GB"/>
              </w:rPr>
            </w:pPr>
            <w:r>
              <w:rPr>
                <w:rFonts w:cstheme="minorHAnsi"/>
                <w:lang w:val="en-US" w:eastAsia="en-GB"/>
              </w:rPr>
              <w:t>£1.5</w:t>
            </w:r>
            <w:r w:rsidRPr="0083171D">
              <w:rPr>
                <w:rFonts w:cstheme="minorHAnsi"/>
                <w:lang w:val="en-US" w:eastAsia="en-GB"/>
              </w:rPr>
              <w:t>k</w:t>
            </w:r>
          </w:p>
        </w:tc>
        <w:tc>
          <w:tcPr>
            <w:tcW w:w="2204" w:type="dxa"/>
            <w:vAlign w:val="center"/>
          </w:tcPr>
          <w:p w14:paraId="73029900" w14:textId="26BEBAA8" w:rsidR="0009368D" w:rsidRPr="0083171D" w:rsidRDefault="0009368D" w:rsidP="00A07199">
            <w:pPr>
              <w:pStyle w:val="NoSpacing"/>
              <w:rPr>
                <w:rFonts w:cstheme="minorHAnsi"/>
                <w:lang w:val="en-US" w:eastAsia="en-GB"/>
              </w:rPr>
            </w:pPr>
            <w:r>
              <w:rPr>
                <w:rFonts w:cstheme="minorHAnsi"/>
                <w:lang w:val="en-US" w:eastAsia="en-GB"/>
              </w:rPr>
              <w:t xml:space="preserve">This budget has been increased now Covid restrictions have relaxed significantly. </w:t>
            </w:r>
          </w:p>
        </w:tc>
        <w:tc>
          <w:tcPr>
            <w:tcW w:w="3523" w:type="dxa"/>
            <w:vMerge/>
          </w:tcPr>
          <w:p w14:paraId="391D52F4" w14:textId="77777777" w:rsidR="0009368D" w:rsidRDefault="0009368D" w:rsidP="00A07199">
            <w:pPr>
              <w:pStyle w:val="NoSpacing"/>
              <w:rPr>
                <w:rFonts w:cstheme="minorHAnsi"/>
                <w:lang w:val="en-US" w:eastAsia="en-GB"/>
              </w:rPr>
            </w:pPr>
          </w:p>
        </w:tc>
      </w:tr>
      <w:tr w:rsidR="003C6808" w:rsidRPr="0083171D" w14:paraId="196D4FE7" w14:textId="35043202" w:rsidTr="0009368D">
        <w:trPr>
          <w:jc w:val="center"/>
        </w:trPr>
        <w:tc>
          <w:tcPr>
            <w:tcW w:w="2716" w:type="dxa"/>
            <w:vAlign w:val="center"/>
          </w:tcPr>
          <w:p w14:paraId="3B2EA4AD" w14:textId="77777777" w:rsidR="003C6808" w:rsidRPr="0083171D" w:rsidRDefault="003C6808" w:rsidP="00F112D2">
            <w:pPr>
              <w:pStyle w:val="NoSpacing"/>
              <w:rPr>
                <w:rFonts w:cstheme="minorHAnsi"/>
                <w:lang w:val="en-US" w:eastAsia="en-GB"/>
              </w:rPr>
            </w:pPr>
            <w:r w:rsidRPr="0083171D">
              <w:rPr>
                <w:rFonts w:cstheme="minorHAnsi"/>
                <w:lang w:val="en-US" w:eastAsia="en-GB"/>
              </w:rPr>
              <w:t>Technology</w:t>
            </w:r>
          </w:p>
          <w:p w14:paraId="077056B8" w14:textId="77777777" w:rsidR="003C6808" w:rsidRPr="0083171D" w:rsidRDefault="003C6808" w:rsidP="00F112D2">
            <w:pPr>
              <w:pStyle w:val="NoSpacing"/>
              <w:rPr>
                <w:rFonts w:cstheme="minorHAnsi"/>
                <w:lang w:val="en-US" w:eastAsia="en-GB"/>
              </w:rPr>
            </w:pPr>
          </w:p>
          <w:p w14:paraId="7BBB8A76" w14:textId="77777777" w:rsidR="003C6808" w:rsidRPr="0083171D" w:rsidRDefault="003C6808" w:rsidP="00F112D2">
            <w:pPr>
              <w:pStyle w:val="NoSpacing"/>
              <w:rPr>
                <w:rFonts w:cstheme="minorHAnsi"/>
                <w:lang w:val="en-US" w:eastAsia="en-GB"/>
              </w:rPr>
            </w:pPr>
            <w:r w:rsidRPr="0083171D">
              <w:rPr>
                <w:rFonts w:cstheme="minorHAnsi"/>
                <w:lang w:val="en-US" w:eastAsia="en-GB"/>
              </w:rPr>
              <w:t>e.g.</w:t>
            </w:r>
          </w:p>
          <w:p w14:paraId="64BBC4DB" w14:textId="77777777" w:rsidR="003C6808" w:rsidRPr="0083171D" w:rsidRDefault="003C6808" w:rsidP="00F112D2">
            <w:pPr>
              <w:pStyle w:val="NoSpacing"/>
              <w:rPr>
                <w:rFonts w:cstheme="minorHAnsi"/>
                <w:lang w:val="en-US" w:eastAsia="en-GB"/>
              </w:rPr>
            </w:pPr>
            <w:r w:rsidRPr="0083171D">
              <w:rPr>
                <w:rFonts w:cstheme="minorHAnsi"/>
                <w:lang w:val="en-US" w:eastAsia="en-GB"/>
              </w:rPr>
              <w:t>Kindles</w:t>
            </w:r>
          </w:p>
        </w:tc>
        <w:tc>
          <w:tcPr>
            <w:tcW w:w="1751" w:type="dxa"/>
            <w:vAlign w:val="center"/>
          </w:tcPr>
          <w:p w14:paraId="127BE64B" w14:textId="2E7E5326" w:rsidR="003C6808" w:rsidRPr="0083171D" w:rsidRDefault="003C6808" w:rsidP="00F112D2">
            <w:pPr>
              <w:pStyle w:val="NoSpacing"/>
              <w:rPr>
                <w:rFonts w:cstheme="minorHAnsi"/>
                <w:lang w:val="en-US" w:eastAsia="en-GB"/>
              </w:rPr>
            </w:pPr>
            <w:r>
              <w:rPr>
                <w:rFonts w:cstheme="minorHAnsi"/>
                <w:lang w:val="en-US" w:eastAsia="en-GB"/>
              </w:rPr>
              <w:t>£2k</w:t>
            </w:r>
          </w:p>
        </w:tc>
        <w:tc>
          <w:tcPr>
            <w:tcW w:w="2204" w:type="dxa"/>
            <w:vAlign w:val="center"/>
          </w:tcPr>
          <w:p w14:paraId="363E91D4" w14:textId="6832784D" w:rsidR="003C6808" w:rsidRPr="0083171D" w:rsidRDefault="003C6808" w:rsidP="00F112D2">
            <w:pPr>
              <w:pStyle w:val="NoSpacing"/>
              <w:rPr>
                <w:rFonts w:cstheme="minorHAnsi"/>
                <w:lang w:val="en-US" w:eastAsia="en-GB"/>
              </w:rPr>
            </w:pPr>
            <w:r>
              <w:rPr>
                <w:rFonts w:cstheme="minorHAnsi"/>
                <w:lang w:val="en-US" w:eastAsia="en-GB"/>
              </w:rPr>
              <w:t>This budget is relatively low due to large technology expenditure last financial year.</w:t>
            </w:r>
          </w:p>
        </w:tc>
        <w:tc>
          <w:tcPr>
            <w:tcW w:w="3523" w:type="dxa"/>
          </w:tcPr>
          <w:p w14:paraId="7CFF489F" w14:textId="7E824B88" w:rsidR="003C6808" w:rsidRDefault="0009368D" w:rsidP="00F112D2">
            <w:pPr>
              <w:pStyle w:val="NoSpacing"/>
              <w:rPr>
                <w:rFonts w:cstheme="minorHAnsi"/>
                <w:lang w:val="en-US" w:eastAsia="en-GB"/>
              </w:rPr>
            </w:pPr>
            <w:r>
              <w:rPr>
                <w:rFonts w:cstheme="minorHAnsi"/>
                <w:lang w:val="en-US" w:eastAsia="en-GB"/>
              </w:rPr>
              <w:t>This budget has been used to run software (e.g. iPad apps) to support our vulnerable pupils across both bases. These have allowed further academic progress in specific areas of learning, and engagement (e.g. in writing) where there was previous little to none.</w:t>
            </w:r>
          </w:p>
        </w:tc>
      </w:tr>
      <w:tr w:rsidR="003C6808" w:rsidRPr="00CB2583" w14:paraId="32E1C76B" w14:textId="6891EA0E" w:rsidTr="0009368D">
        <w:trPr>
          <w:jc w:val="center"/>
        </w:trPr>
        <w:tc>
          <w:tcPr>
            <w:tcW w:w="2716" w:type="dxa"/>
            <w:vAlign w:val="center"/>
          </w:tcPr>
          <w:p w14:paraId="119F1B40" w14:textId="77777777" w:rsidR="003C6808" w:rsidRPr="0083171D" w:rsidRDefault="003C6808" w:rsidP="00F112D2">
            <w:pPr>
              <w:pStyle w:val="NoSpacing"/>
              <w:rPr>
                <w:rFonts w:cstheme="minorHAnsi"/>
                <w:lang w:val="en-US" w:eastAsia="en-GB"/>
              </w:rPr>
            </w:pPr>
            <w:r w:rsidRPr="0083171D">
              <w:rPr>
                <w:rFonts w:cstheme="minorHAnsi"/>
                <w:lang w:val="en-US" w:eastAsia="en-GB"/>
              </w:rPr>
              <w:t>Contingency</w:t>
            </w:r>
          </w:p>
        </w:tc>
        <w:tc>
          <w:tcPr>
            <w:tcW w:w="1751" w:type="dxa"/>
            <w:vAlign w:val="center"/>
          </w:tcPr>
          <w:p w14:paraId="1FE520EC" w14:textId="1C346CB2" w:rsidR="003C6808" w:rsidRPr="0083171D" w:rsidRDefault="003C6808" w:rsidP="00F112D2">
            <w:pPr>
              <w:pStyle w:val="NoSpacing"/>
              <w:rPr>
                <w:rFonts w:cstheme="minorHAnsi"/>
                <w:lang w:val="en-US" w:eastAsia="en-GB"/>
              </w:rPr>
            </w:pPr>
            <w:r>
              <w:rPr>
                <w:rFonts w:cstheme="minorHAnsi"/>
                <w:lang w:val="en-US" w:eastAsia="en-GB"/>
              </w:rPr>
              <w:t>&lt; £1k</w:t>
            </w:r>
          </w:p>
        </w:tc>
        <w:tc>
          <w:tcPr>
            <w:tcW w:w="2204" w:type="dxa"/>
            <w:vAlign w:val="center"/>
          </w:tcPr>
          <w:p w14:paraId="342CB9D4" w14:textId="77777777" w:rsidR="003C6808" w:rsidRPr="00CB2583" w:rsidRDefault="003C6808" w:rsidP="00F112D2">
            <w:pPr>
              <w:pStyle w:val="NoSpacing"/>
              <w:rPr>
                <w:rFonts w:cstheme="minorHAnsi"/>
                <w:lang w:val="en-US" w:eastAsia="en-GB"/>
              </w:rPr>
            </w:pPr>
            <w:r w:rsidRPr="0083171D">
              <w:rPr>
                <w:rFonts w:cstheme="minorHAnsi"/>
                <w:lang w:val="en-US" w:eastAsia="en-GB"/>
              </w:rPr>
              <w:t>Amount set aside for responding to immediate need.</w:t>
            </w:r>
          </w:p>
        </w:tc>
        <w:tc>
          <w:tcPr>
            <w:tcW w:w="3523" w:type="dxa"/>
          </w:tcPr>
          <w:p w14:paraId="40CD0350" w14:textId="0DA3C7DD" w:rsidR="003C6808" w:rsidRPr="0083171D" w:rsidRDefault="0009368D" w:rsidP="00F112D2">
            <w:pPr>
              <w:pStyle w:val="NoSpacing"/>
              <w:rPr>
                <w:rFonts w:cstheme="minorHAnsi"/>
                <w:lang w:val="en-US" w:eastAsia="en-GB"/>
              </w:rPr>
            </w:pPr>
            <w:r>
              <w:rPr>
                <w:rFonts w:cstheme="minorHAnsi"/>
                <w:lang w:val="en-US" w:eastAsia="en-GB"/>
              </w:rPr>
              <w:t>This budget was used up on incidental resources to support vulnerable learners which would otherwise not have been possible</w:t>
            </w:r>
            <w:r w:rsidR="00A44763">
              <w:rPr>
                <w:rFonts w:cstheme="minorHAnsi"/>
                <w:lang w:val="en-US" w:eastAsia="en-GB"/>
              </w:rPr>
              <w:t>.</w:t>
            </w:r>
          </w:p>
        </w:tc>
      </w:tr>
    </w:tbl>
    <w:p w14:paraId="39A0FD9F" w14:textId="2C5EEAA0" w:rsidR="007D01D8" w:rsidRDefault="001814E5" w:rsidP="00F503B8">
      <w:pPr>
        <w:spacing w:before="100" w:beforeAutospacing="1" w:after="100" w:afterAutospacing="1" w:line="240" w:lineRule="auto"/>
        <w:outlineLvl w:val="0"/>
        <w:rPr>
          <w:rFonts w:eastAsia="Times New Roman" w:cs="Helvetica"/>
          <w:bCs/>
          <w:color w:val="444444"/>
          <w:kern w:val="36"/>
          <w:sz w:val="24"/>
          <w:szCs w:val="24"/>
          <w:lang w:val="en-US" w:eastAsia="en-GB"/>
        </w:rPr>
      </w:pPr>
      <w:r>
        <w:rPr>
          <w:rFonts w:eastAsia="Times New Roman" w:cs="Helvetica"/>
          <w:bCs/>
          <w:color w:val="444444"/>
          <w:kern w:val="36"/>
          <w:sz w:val="24"/>
          <w:szCs w:val="24"/>
          <w:lang w:val="en-US" w:eastAsia="en-GB"/>
        </w:rPr>
        <w:t>July 2022</w:t>
      </w:r>
    </w:p>
    <w:p w14:paraId="65551D60" w14:textId="6099739A" w:rsidR="006164FD" w:rsidRPr="00C75FC0" w:rsidRDefault="006164FD" w:rsidP="00F503B8">
      <w:pPr>
        <w:spacing w:before="100" w:beforeAutospacing="1" w:after="100" w:afterAutospacing="1" w:line="240" w:lineRule="auto"/>
        <w:outlineLvl w:val="0"/>
        <w:rPr>
          <w:rFonts w:eastAsia="Times New Roman" w:cs="Helvetica"/>
          <w:bCs/>
          <w:color w:val="444444"/>
          <w:kern w:val="36"/>
          <w:sz w:val="24"/>
          <w:szCs w:val="24"/>
          <w:lang w:val="en-US" w:eastAsia="en-GB"/>
        </w:rPr>
      </w:pPr>
    </w:p>
    <w:sectPr w:rsidR="006164FD" w:rsidRPr="00C75FC0" w:rsidSect="005A1A7E">
      <w:pgSz w:w="11906" w:h="16838"/>
      <w:pgMar w:top="426"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1589F"/>
    <w:multiLevelType w:val="hybridMultilevel"/>
    <w:tmpl w:val="7CC4EE7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1" w15:restartNumberingAfterBreak="0">
    <w:nsid w:val="23C040E1"/>
    <w:multiLevelType w:val="hybridMultilevel"/>
    <w:tmpl w:val="7DF8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4A0400"/>
    <w:multiLevelType w:val="multilevel"/>
    <w:tmpl w:val="29BEA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5E4A6B"/>
    <w:multiLevelType w:val="multilevel"/>
    <w:tmpl w:val="50B82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A6C"/>
    <w:rsid w:val="00006442"/>
    <w:rsid w:val="0001315A"/>
    <w:rsid w:val="000436B8"/>
    <w:rsid w:val="000601A3"/>
    <w:rsid w:val="00067F8C"/>
    <w:rsid w:val="00074D32"/>
    <w:rsid w:val="00082B6C"/>
    <w:rsid w:val="0009368D"/>
    <w:rsid w:val="000A173B"/>
    <w:rsid w:val="000A37E6"/>
    <w:rsid w:val="000C2DF6"/>
    <w:rsid w:val="000C47E8"/>
    <w:rsid w:val="000D0765"/>
    <w:rsid w:val="000D29C0"/>
    <w:rsid w:val="000D5915"/>
    <w:rsid w:val="000E1275"/>
    <w:rsid w:val="001307A1"/>
    <w:rsid w:val="00136CFF"/>
    <w:rsid w:val="00152798"/>
    <w:rsid w:val="001814E5"/>
    <w:rsid w:val="00185743"/>
    <w:rsid w:val="001A4775"/>
    <w:rsid w:val="001C32DF"/>
    <w:rsid w:val="001D6C69"/>
    <w:rsid w:val="001E3D8C"/>
    <w:rsid w:val="001E7427"/>
    <w:rsid w:val="001F1CA9"/>
    <w:rsid w:val="00206AE6"/>
    <w:rsid w:val="00213A1B"/>
    <w:rsid w:val="00213EE8"/>
    <w:rsid w:val="00245E28"/>
    <w:rsid w:val="002531FF"/>
    <w:rsid w:val="00272DB3"/>
    <w:rsid w:val="0029418F"/>
    <w:rsid w:val="00297BA6"/>
    <w:rsid w:val="002A7A9C"/>
    <w:rsid w:val="002B0F34"/>
    <w:rsid w:val="002C6105"/>
    <w:rsid w:val="002D0F96"/>
    <w:rsid w:val="002E4D04"/>
    <w:rsid w:val="002E73BA"/>
    <w:rsid w:val="00335D89"/>
    <w:rsid w:val="003377B5"/>
    <w:rsid w:val="00356C7A"/>
    <w:rsid w:val="00361DE7"/>
    <w:rsid w:val="003915C0"/>
    <w:rsid w:val="0039324F"/>
    <w:rsid w:val="003B5205"/>
    <w:rsid w:val="003C3FAC"/>
    <w:rsid w:val="003C6808"/>
    <w:rsid w:val="0040432B"/>
    <w:rsid w:val="004459DD"/>
    <w:rsid w:val="00455904"/>
    <w:rsid w:val="00462B30"/>
    <w:rsid w:val="00463908"/>
    <w:rsid w:val="00484AC4"/>
    <w:rsid w:val="0049304C"/>
    <w:rsid w:val="004952F0"/>
    <w:rsid w:val="004A16E0"/>
    <w:rsid w:val="004C1CD0"/>
    <w:rsid w:val="004C7C5A"/>
    <w:rsid w:val="004D7D5E"/>
    <w:rsid w:val="004E2A87"/>
    <w:rsid w:val="004F17DF"/>
    <w:rsid w:val="004F3E68"/>
    <w:rsid w:val="00511C1E"/>
    <w:rsid w:val="005646FF"/>
    <w:rsid w:val="005767F0"/>
    <w:rsid w:val="005826CE"/>
    <w:rsid w:val="00587571"/>
    <w:rsid w:val="00593F33"/>
    <w:rsid w:val="005A1A7E"/>
    <w:rsid w:val="005C71FF"/>
    <w:rsid w:val="005E7150"/>
    <w:rsid w:val="00606A6C"/>
    <w:rsid w:val="006164FD"/>
    <w:rsid w:val="00617EF6"/>
    <w:rsid w:val="0065187C"/>
    <w:rsid w:val="00654DF7"/>
    <w:rsid w:val="00660797"/>
    <w:rsid w:val="0066109B"/>
    <w:rsid w:val="00664107"/>
    <w:rsid w:val="00677F02"/>
    <w:rsid w:val="006873D8"/>
    <w:rsid w:val="006A3D0C"/>
    <w:rsid w:val="006C37C1"/>
    <w:rsid w:val="006D6DBF"/>
    <w:rsid w:val="00700BD6"/>
    <w:rsid w:val="00702ABC"/>
    <w:rsid w:val="00714780"/>
    <w:rsid w:val="007263AD"/>
    <w:rsid w:val="00735031"/>
    <w:rsid w:val="0075330E"/>
    <w:rsid w:val="007761E2"/>
    <w:rsid w:val="00787AC9"/>
    <w:rsid w:val="007A275C"/>
    <w:rsid w:val="007B5812"/>
    <w:rsid w:val="007D01D8"/>
    <w:rsid w:val="007D772F"/>
    <w:rsid w:val="007E26C7"/>
    <w:rsid w:val="00823724"/>
    <w:rsid w:val="0083171D"/>
    <w:rsid w:val="00852B0B"/>
    <w:rsid w:val="00852F3B"/>
    <w:rsid w:val="00870B1A"/>
    <w:rsid w:val="008835A5"/>
    <w:rsid w:val="00890659"/>
    <w:rsid w:val="00892C79"/>
    <w:rsid w:val="008A57B3"/>
    <w:rsid w:val="008A6A25"/>
    <w:rsid w:val="008F168D"/>
    <w:rsid w:val="008F2B2A"/>
    <w:rsid w:val="0091029D"/>
    <w:rsid w:val="00912B16"/>
    <w:rsid w:val="009449FE"/>
    <w:rsid w:val="00955A0F"/>
    <w:rsid w:val="009753CC"/>
    <w:rsid w:val="00983466"/>
    <w:rsid w:val="009E069E"/>
    <w:rsid w:val="009F0878"/>
    <w:rsid w:val="009F7CBC"/>
    <w:rsid w:val="00A07199"/>
    <w:rsid w:val="00A13018"/>
    <w:rsid w:val="00A204D3"/>
    <w:rsid w:val="00A42778"/>
    <w:rsid w:val="00A44763"/>
    <w:rsid w:val="00A657E0"/>
    <w:rsid w:val="00A66BAB"/>
    <w:rsid w:val="00A86EBC"/>
    <w:rsid w:val="00AD5D3B"/>
    <w:rsid w:val="00AE222F"/>
    <w:rsid w:val="00AF318C"/>
    <w:rsid w:val="00B002C8"/>
    <w:rsid w:val="00B0236E"/>
    <w:rsid w:val="00B65F5A"/>
    <w:rsid w:val="00B93482"/>
    <w:rsid w:val="00BC28FF"/>
    <w:rsid w:val="00BD6314"/>
    <w:rsid w:val="00BF1F59"/>
    <w:rsid w:val="00C62D57"/>
    <w:rsid w:val="00C75FC0"/>
    <w:rsid w:val="00C8087D"/>
    <w:rsid w:val="00CA51A7"/>
    <w:rsid w:val="00CB2583"/>
    <w:rsid w:val="00D02BC3"/>
    <w:rsid w:val="00D12817"/>
    <w:rsid w:val="00D21EC2"/>
    <w:rsid w:val="00D62D95"/>
    <w:rsid w:val="00D62E7D"/>
    <w:rsid w:val="00D835DC"/>
    <w:rsid w:val="00DA586B"/>
    <w:rsid w:val="00DC3689"/>
    <w:rsid w:val="00DF7863"/>
    <w:rsid w:val="00E017D3"/>
    <w:rsid w:val="00E01CD8"/>
    <w:rsid w:val="00E07C20"/>
    <w:rsid w:val="00E1159A"/>
    <w:rsid w:val="00E36508"/>
    <w:rsid w:val="00E432B4"/>
    <w:rsid w:val="00E7104C"/>
    <w:rsid w:val="00E84063"/>
    <w:rsid w:val="00E97C34"/>
    <w:rsid w:val="00EA329F"/>
    <w:rsid w:val="00EB19AB"/>
    <w:rsid w:val="00EE7341"/>
    <w:rsid w:val="00F112D2"/>
    <w:rsid w:val="00F503B8"/>
    <w:rsid w:val="00F54CEB"/>
    <w:rsid w:val="00F61BC5"/>
    <w:rsid w:val="00F72525"/>
    <w:rsid w:val="00F87BD1"/>
    <w:rsid w:val="00F9483C"/>
    <w:rsid w:val="00FA1C83"/>
    <w:rsid w:val="00FA27F8"/>
    <w:rsid w:val="00FD6C9B"/>
    <w:rsid w:val="00FF2A99"/>
    <w:rsid w:val="00FF2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A1199"/>
  <w15:docId w15:val="{E3A5617B-BFA1-4A4F-8122-A755B778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7C1"/>
    <w:pPr>
      <w:ind w:left="720"/>
      <w:contextualSpacing/>
    </w:pPr>
  </w:style>
  <w:style w:type="table" w:styleId="TableGrid">
    <w:name w:val="Table Grid"/>
    <w:basedOn w:val="TableNormal"/>
    <w:uiPriority w:val="59"/>
    <w:rsid w:val="00272D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7F02"/>
    <w:pPr>
      <w:spacing w:after="0" w:line="240" w:lineRule="auto"/>
    </w:pPr>
  </w:style>
  <w:style w:type="paragraph" w:styleId="BalloonText">
    <w:name w:val="Balloon Text"/>
    <w:basedOn w:val="Normal"/>
    <w:link w:val="BalloonTextChar"/>
    <w:uiPriority w:val="99"/>
    <w:semiHidden/>
    <w:unhideWhenUsed/>
    <w:rsid w:val="00687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3D8"/>
    <w:rPr>
      <w:rFonts w:ascii="Segoe UI" w:hAnsi="Segoe UI" w:cs="Segoe UI"/>
      <w:sz w:val="18"/>
      <w:szCs w:val="18"/>
    </w:rPr>
  </w:style>
  <w:style w:type="character" w:styleId="Hyperlink">
    <w:name w:val="Hyperlink"/>
    <w:basedOn w:val="DefaultParagraphFont"/>
    <w:uiPriority w:val="99"/>
    <w:unhideWhenUsed/>
    <w:rsid w:val="00EE73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430731">
      <w:bodyDiv w:val="1"/>
      <w:marLeft w:val="0"/>
      <w:marRight w:val="0"/>
      <w:marTop w:val="0"/>
      <w:marBottom w:val="0"/>
      <w:divBdr>
        <w:top w:val="none" w:sz="0" w:space="0" w:color="auto"/>
        <w:left w:val="none" w:sz="0" w:space="0" w:color="auto"/>
        <w:bottom w:val="none" w:sz="0" w:space="0" w:color="auto"/>
        <w:right w:val="none" w:sz="0" w:space="0" w:color="auto"/>
      </w:divBdr>
      <w:divsChild>
        <w:div w:id="849762203">
          <w:marLeft w:val="0"/>
          <w:marRight w:val="0"/>
          <w:marTop w:val="0"/>
          <w:marBottom w:val="0"/>
          <w:divBdr>
            <w:top w:val="none" w:sz="0" w:space="0" w:color="auto"/>
            <w:left w:val="none" w:sz="0" w:space="0" w:color="auto"/>
            <w:bottom w:val="none" w:sz="0" w:space="0" w:color="auto"/>
            <w:right w:val="none" w:sz="0" w:space="0" w:color="auto"/>
          </w:divBdr>
          <w:divsChild>
            <w:div w:id="1814785174">
              <w:marLeft w:val="0"/>
              <w:marRight w:val="0"/>
              <w:marTop w:val="0"/>
              <w:marBottom w:val="0"/>
              <w:divBdr>
                <w:top w:val="none" w:sz="0" w:space="0" w:color="auto"/>
                <w:left w:val="none" w:sz="0" w:space="0" w:color="auto"/>
                <w:bottom w:val="none" w:sz="0" w:space="0" w:color="auto"/>
                <w:right w:val="none" w:sz="0" w:space="0" w:color="auto"/>
              </w:divBdr>
            </w:div>
            <w:div w:id="1152064445">
              <w:marLeft w:val="0"/>
              <w:marRight w:val="0"/>
              <w:marTop w:val="0"/>
              <w:marBottom w:val="0"/>
              <w:divBdr>
                <w:top w:val="none" w:sz="0" w:space="0" w:color="auto"/>
                <w:left w:val="none" w:sz="0" w:space="0" w:color="auto"/>
                <w:bottom w:val="none" w:sz="0" w:space="0" w:color="auto"/>
                <w:right w:val="none" w:sz="0" w:space="0" w:color="auto"/>
              </w:divBdr>
              <w:divsChild>
                <w:div w:id="2074615985">
                  <w:marLeft w:val="0"/>
                  <w:marRight w:val="0"/>
                  <w:marTop w:val="360"/>
                  <w:marBottom w:val="0"/>
                  <w:divBdr>
                    <w:top w:val="none" w:sz="0" w:space="0" w:color="auto"/>
                    <w:left w:val="none" w:sz="0" w:space="0" w:color="auto"/>
                    <w:bottom w:val="none" w:sz="0" w:space="0" w:color="auto"/>
                    <w:right w:val="none" w:sz="0" w:space="0" w:color="auto"/>
                  </w:divBdr>
                  <w:divsChild>
                    <w:div w:id="747656414">
                      <w:marLeft w:val="0"/>
                      <w:marRight w:val="0"/>
                      <w:marTop w:val="0"/>
                      <w:marBottom w:val="0"/>
                      <w:divBdr>
                        <w:top w:val="none" w:sz="0" w:space="0" w:color="auto"/>
                        <w:left w:val="none" w:sz="0" w:space="0" w:color="auto"/>
                        <w:bottom w:val="none" w:sz="0" w:space="0" w:color="auto"/>
                        <w:right w:val="none" w:sz="0" w:space="0" w:color="auto"/>
                      </w:divBdr>
                      <w:divsChild>
                        <w:div w:id="167479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B3D5C-41C7-4331-A976-2E990261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664</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Chuchfields School</Company>
  <LinksUpToDate>false</LinksUpToDate>
  <CharactersWithSpaces>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Futcher</dc:creator>
  <cp:lastModifiedBy>Simon Futcher</cp:lastModifiedBy>
  <cp:revision>11</cp:revision>
  <cp:lastPrinted>2015-04-17T14:59:00Z</cp:lastPrinted>
  <dcterms:created xsi:type="dcterms:W3CDTF">2022-05-03T09:54:00Z</dcterms:created>
  <dcterms:modified xsi:type="dcterms:W3CDTF">2023-07-06T07:59:00Z</dcterms:modified>
</cp:coreProperties>
</file>